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15A" w:rsidRPr="0056015A" w:rsidRDefault="0056015A" w:rsidP="00767E31">
      <w:pPr>
        <w:keepNext/>
        <w:spacing w:before="120" w:after="120" w:line="240" w:lineRule="auto"/>
        <w:jc w:val="center"/>
        <w:outlineLvl w:val="1"/>
        <w:rPr>
          <w:rFonts w:cs="Times New Roman"/>
          <w:b/>
          <w:bCs/>
          <w:sz w:val="24"/>
          <w:szCs w:val="26"/>
          <w:lang w:val="ro-RO" w:eastAsia="x-none"/>
        </w:rPr>
      </w:pPr>
      <w:r w:rsidRPr="0056015A">
        <w:rPr>
          <w:rFonts w:cs="Times New Roman"/>
          <w:b/>
          <w:bCs/>
          <w:sz w:val="24"/>
          <w:szCs w:val="26"/>
          <w:lang w:val="ro-RO" w:eastAsia="x-none"/>
        </w:rPr>
        <w:t>De</w:t>
      </w:r>
      <w:r>
        <w:rPr>
          <w:rFonts w:cs="Times New Roman"/>
          <w:b/>
          <w:bCs/>
          <w:sz w:val="24"/>
          <w:szCs w:val="26"/>
          <w:lang w:val="ro-RO" w:eastAsia="x-none"/>
        </w:rPr>
        <w:t>talii privind indicatorii</w:t>
      </w:r>
      <w:r w:rsidR="00767E31">
        <w:rPr>
          <w:rFonts w:cs="Times New Roman"/>
          <w:b/>
          <w:bCs/>
          <w:sz w:val="24"/>
          <w:szCs w:val="26"/>
          <w:lang w:val="ro-RO" w:eastAsia="x-none"/>
        </w:rPr>
        <w:t xml:space="preserve"> de realizare</w:t>
      </w:r>
      <w:r w:rsidRPr="0056015A">
        <w:rPr>
          <w:rFonts w:cs="Times New Roman"/>
          <w:b/>
          <w:bCs/>
          <w:sz w:val="24"/>
          <w:szCs w:val="26"/>
          <w:lang w:val="ro-RO" w:eastAsia="x-none"/>
        </w:rPr>
        <w:t xml:space="preserve"> incluşi în Programul Operaţional Asistenţă Tehnică 2014 - 2020</w:t>
      </w:r>
    </w:p>
    <w:tbl>
      <w:tblPr>
        <w:tblW w:w="14815" w:type="dxa"/>
        <w:tblInd w:w="-10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0A0" w:firstRow="1" w:lastRow="0" w:firstColumn="1" w:lastColumn="0" w:noHBand="0" w:noVBand="0"/>
      </w:tblPr>
      <w:tblGrid>
        <w:gridCol w:w="4428"/>
        <w:gridCol w:w="1740"/>
        <w:gridCol w:w="3969"/>
        <w:gridCol w:w="4678"/>
      </w:tblGrid>
      <w:tr w:rsidR="00537C8C" w:rsidRPr="00F91DF2" w:rsidTr="0056343E">
        <w:trPr>
          <w:trHeight w:val="477"/>
          <w:tblHeader/>
        </w:trPr>
        <w:tc>
          <w:tcPr>
            <w:tcW w:w="4428" w:type="dxa"/>
            <w:shd w:val="clear" w:color="auto" w:fill="B8CCE4" w:themeFill="accent1" w:themeFillTint="66"/>
            <w:vAlign w:val="center"/>
          </w:tcPr>
          <w:p w:rsidR="00537C8C" w:rsidRPr="0056015A" w:rsidRDefault="00537C8C" w:rsidP="00F91DF2">
            <w:pPr>
              <w:spacing w:before="120" w:after="120" w:line="240" w:lineRule="auto"/>
              <w:jc w:val="center"/>
              <w:rPr>
                <w:rFonts w:asciiTheme="minorHAnsi" w:hAnsiTheme="minorHAnsi" w:cs="Times New Roman"/>
                <w:b/>
                <w:bCs/>
                <w:sz w:val="24"/>
                <w:szCs w:val="24"/>
                <w:lang w:val="ro-RO"/>
              </w:rPr>
            </w:pPr>
            <w:r w:rsidRPr="0056015A">
              <w:rPr>
                <w:rFonts w:asciiTheme="minorHAnsi" w:hAnsiTheme="minorHAnsi" w:cs="Times New Roman"/>
                <w:b/>
                <w:bCs/>
                <w:sz w:val="24"/>
                <w:szCs w:val="24"/>
                <w:lang w:val="ro-RO"/>
              </w:rPr>
              <w:t xml:space="preserve">Indicator </w:t>
            </w:r>
          </w:p>
        </w:tc>
        <w:tc>
          <w:tcPr>
            <w:tcW w:w="1740" w:type="dxa"/>
            <w:shd w:val="clear" w:color="auto" w:fill="B8CCE4" w:themeFill="accent1" w:themeFillTint="66"/>
            <w:vAlign w:val="center"/>
          </w:tcPr>
          <w:p w:rsidR="00537C8C" w:rsidRPr="0056015A" w:rsidRDefault="00537C8C" w:rsidP="00F91DF2">
            <w:pPr>
              <w:spacing w:before="120" w:after="120" w:line="240" w:lineRule="auto"/>
              <w:jc w:val="center"/>
              <w:rPr>
                <w:rFonts w:asciiTheme="minorHAnsi" w:hAnsiTheme="minorHAnsi" w:cs="Times New Roman"/>
                <w:b/>
                <w:bCs/>
                <w:sz w:val="24"/>
                <w:szCs w:val="24"/>
                <w:lang w:val="ro-RO"/>
              </w:rPr>
            </w:pPr>
            <w:r w:rsidRPr="0056015A">
              <w:rPr>
                <w:rFonts w:asciiTheme="minorHAnsi" w:hAnsiTheme="minorHAnsi" w:cs="Times New Roman"/>
                <w:b/>
                <w:bCs/>
                <w:sz w:val="24"/>
                <w:szCs w:val="24"/>
                <w:lang w:val="ro-RO"/>
              </w:rPr>
              <w:t>Referitor la A</w:t>
            </w:r>
            <w:r w:rsidR="00DD2A8F" w:rsidRPr="0056015A">
              <w:rPr>
                <w:rFonts w:asciiTheme="minorHAnsi" w:hAnsiTheme="minorHAnsi" w:cs="Times New Roman"/>
                <w:b/>
                <w:bCs/>
                <w:sz w:val="24"/>
                <w:szCs w:val="24"/>
                <w:lang w:val="ro-RO"/>
              </w:rPr>
              <w:t>P</w:t>
            </w:r>
            <w:r w:rsidRPr="0056015A">
              <w:rPr>
                <w:rFonts w:asciiTheme="minorHAnsi" w:hAnsiTheme="minorHAnsi" w:cs="Times New Roman"/>
                <w:b/>
                <w:bCs/>
                <w:sz w:val="24"/>
                <w:szCs w:val="24"/>
                <w:lang w:val="ro-RO"/>
              </w:rPr>
              <w:t>/O</w:t>
            </w:r>
            <w:r w:rsidR="00DD2A8F" w:rsidRPr="0056015A">
              <w:rPr>
                <w:rFonts w:asciiTheme="minorHAnsi" w:hAnsiTheme="minorHAnsi" w:cs="Times New Roman"/>
                <w:b/>
                <w:bCs/>
                <w:sz w:val="24"/>
                <w:szCs w:val="24"/>
                <w:lang w:val="ro-RO"/>
              </w:rPr>
              <w:t>S</w:t>
            </w:r>
            <w:r w:rsidRPr="0056015A">
              <w:rPr>
                <w:rFonts w:asciiTheme="minorHAnsi" w:hAnsiTheme="minorHAnsi" w:cs="Times New Roman"/>
                <w:b/>
                <w:bCs/>
                <w:sz w:val="24"/>
                <w:szCs w:val="24"/>
                <w:lang w:val="ro-RO"/>
              </w:rPr>
              <w:t>/Ac</w:t>
            </w:r>
            <w:r w:rsidR="00DD2A8F" w:rsidRPr="0056015A">
              <w:rPr>
                <w:rFonts w:asciiTheme="minorHAnsi" w:hAnsiTheme="minorHAnsi" w:cs="Times New Roman"/>
                <w:b/>
                <w:bCs/>
                <w:sz w:val="24"/>
                <w:szCs w:val="24"/>
                <w:lang w:val="ro-RO"/>
              </w:rPr>
              <w:t>ț</w:t>
            </w:r>
            <w:r w:rsidRPr="0056015A">
              <w:rPr>
                <w:rFonts w:asciiTheme="minorHAnsi" w:hAnsiTheme="minorHAnsi" w:cs="Times New Roman"/>
                <w:b/>
                <w:bCs/>
                <w:sz w:val="24"/>
                <w:szCs w:val="24"/>
                <w:lang w:val="ro-RO"/>
              </w:rPr>
              <w:t>iune</w:t>
            </w:r>
          </w:p>
        </w:tc>
        <w:tc>
          <w:tcPr>
            <w:tcW w:w="3969" w:type="dxa"/>
            <w:shd w:val="clear" w:color="auto" w:fill="B8CCE4" w:themeFill="accent1" w:themeFillTint="66"/>
            <w:vAlign w:val="center"/>
          </w:tcPr>
          <w:p w:rsidR="00537C8C" w:rsidRPr="0056015A" w:rsidRDefault="0056343E" w:rsidP="00F91DF2">
            <w:pPr>
              <w:spacing w:before="120" w:after="120" w:line="240" w:lineRule="auto"/>
              <w:jc w:val="center"/>
              <w:rPr>
                <w:rFonts w:asciiTheme="minorHAnsi" w:hAnsiTheme="minorHAnsi" w:cs="Times New Roman"/>
                <w:b/>
                <w:bCs/>
                <w:sz w:val="24"/>
                <w:szCs w:val="24"/>
                <w:lang w:val="ro-RO"/>
              </w:rPr>
            </w:pPr>
            <w:r>
              <w:rPr>
                <w:rFonts w:asciiTheme="minorHAnsi" w:hAnsiTheme="minorHAnsi" w:cs="Times New Roman"/>
                <w:b/>
                <w:bCs/>
                <w:sz w:val="24"/>
                <w:szCs w:val="24"/>
                <w:lang w:val="ro-RO"/>
              </w:rPr>
              <w:t>Definiț</w:t>
            </w:r>
            <w:r w:rsidR="00537C8C" w:rsidRPr="0056015A">
              <w:rPr>
                <w:rFonts w:asciiTheme="minorHAnsi" w:hAnsiTheme="minorHAnsi" w:cs="Times New Roman"/>
                <w:b/>
                <w:bCs/>
                <w:sz w:val="24"/>
                <w:szCs w:val="24"/>
                <w:lang w:val="ro-RO"/>
              </w:rPr>
              <w:t>ie</w:t>
            </w:r>
          </w:p>
        </w:tc>
        <w:tc>
          <w:tcPr>
            <w:tcW w:w="4678" w:type="dxa"/>
            <w:shd w:val="clear" w:color="auto" w:fill="B8CCE4" w:themeFill="accent1" w:themeFillTint="66"/>
            <w:vAlign w:val="center"/>
          </w:tcPr>
          <w:p w:rsidR="00537C8C" w:rsidRPr="0056015A" w:rsidRDefault="0056015A" w:rsidP="00F91DF2">
            <w:pPr>
              <w:spacing w:before="120" w:after="120" w:line="240" w:lineRule="auto"/>
              <w:jc w:val="center"/>
              <w:rPr>
                <w:rFonts w:asciiTheme="minorHAnsi" w:hAnsiTheme="minorHAnsi" w:cs="Times New Roman"/>
                <w:b/>
                <w:bCs/>
                <w:sz w:val="24"/>
                <w:szCs w:val="24"/>
                <w:lang w:val="ro-RO"/>
              </w:rPr>
            </w:pPr>
            <w:r w:rsidRPr="0056015A">
              <w:rPr>
                <w:rFonts w:asciiTheme="minorHAnsi" w:hAnsiTheme="minorHAnsi" w:cs="Times New Roman"/>
                <w:b/>
                <w:bCs/>
                <w:sz w:val="24"/>
                <w:szCs w:val="24"/>
                <w:lang w:val="ro-RO"/>
              </w:rPr>
              <w:t>Criterii de mă</w:t>
            </w:r>
            <w:r w:rsidR="00537C8C" w:rsidRPr="0056015A">
              <w:rPr>
                <w:rFonts w:asciiTheme="minorHAnsi" w:hAnsiTheme="minorHAnsi" w:cs="Times New Roman"/>
                <w:b/>
                <w:bCs/>
                <w:sz w:val="24"/>
                <w:szCs w:val="24"/>
                <w:lang w:val="ro-RO"/>
              </w:rPr>
              <w:t>sura</w:t>
            </w:r>
            <w:r w:rsidRPr="0056015A">
              <w:rPr>
                <w:rFonts w:asciiTheme="minorHAnsi" w:hAnsiTheme="minorHAnsi" w:cs="Times New Roman"/>
                <w:b/>
                <w:bCs/>
                <w:sz w:val="24"/>
                <w:szCs w:val="24"/>
                <w:lang w:val="ro-RO"/>
              </w:rPr>
              <w:t>re</w:t>
            </w:r>
          </w:p>
        </w:tc>
      </w:tr>
      <w:tr w:rsidR="00DF6687" w:rsidRPr="00556B48" w:rsidTr="00451495">
        <w:tc>
          <w:tcPr>
            <w:tcW w:w="4428" w:type="dxa"/>
          </w:tcPr>
          <w:p w:rsidR="00DF6687" w:rsidRPr="00E464A1" w:rsidRDefault="00DF6687" w:rsidP="00451495">
            <w:pPr>
              <w:spacing w:before="120" w:after="120" w:line="240" w:lineRule="auto"/>
              <w:jc w:val="both"/>
              <w:rPr>
                <w:rFonts w:asciiTheme="minorHAnsi" w:hAnsiTheme="minorHAnsi" w:cs="Times New Roman"/>
                <w:sz w:val="24"/>
                <w:szCs w:val="24"/>
                <w:lang w:val="ro-RO"/>
              </w:rPr>
            </w:pPr>
            <w:r w:rsidRPr="00E464A1">
              <w:rPr>
                <w:rFonts w:asciiTheme="minorHAnsi" w:hAnsiTheme="minorHAnsi" w:cs="Times New Roman"/>
                <w:sz w:val="24"/>
                <w:szCs w:val="24"/>
                <w:lang w:val="ro-RO"/>
              </w:rPr>
              <w:t xml:space="preserve">6S1’ </w:t>
            </w:r>
            <w:r>
              <w:rPr>
                <w:rFonts w:asciiTheme="minorHAnsi" w:hAnsiTheme="minorHAnsi" w:cs="Times New Roman"/>
                <w:sz w:val="24"/>
                <w:szCs w:val="24"/>
                <w:lang w:val="ro-RO"/>
              </w:rPr>
              <w:t xml:space="preserve">- </w:t>
            </w:r>
            <w:r w:rsidRPr="00E464A1">
              <w:rPr>
                <w:rFonts w:asciiTheme="minorHAnsi" w:hAnsiTheme="minorHAnsi" w:cs="Times New Roman"/>
                <w:sz w:val="24"/>
                <w:szCs w:val="24"/>
                <w:lang w:val="ro-RO"/>
              </w:rPr>
              <w:t>Rată de contractare a proiectelor a căror pregătire a fost sprijinită de către unitatea de gestiune a arhitecturii guvernamentale integrate IT</w:t>
            </w:r>
          </w:p>
        </w:tc>
        <w:tc>
          <w:tcPr>
            <w:tcW w:w="1740" w:type="dxa"/>
          </w:tcPr>
          <w:p w:rsidR="00DF6687" w:rsidRPr="0056015A" w:rsidRDefault="00DF6687" w:rsidP="00176B50">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1.1/ Acțiune</w:t>
            </w:r>
            <w:r w:rsidRPr="0056015A" w:rsidDel="00847529">
              <w:rPr>
                <w:rFonts w:asciiTheme="minorHAnsi" w:hAnsiTheme="minorHAnsi" w:cs="Times New Roman"/>
                <w:sz w:val="24"/>
                <w:szCs w:val="24"/>
                <w:lang w:val="ro-RO"/>
              </w:rPr>
              <w:t xml:space="preserve"> </w:t>
            </w:r>
            <w:r w:rsidRPr="0056015A">
              <w:rPr>
                <w:rFonts w:asciiTheme="minorHAnsi" w:hAnsiTheme="minorHAnsi" w:cs="Times New Roman"/>
                <w:sz w:val="24"/>
                <w:szCs w:val="24"/>
                <w:lang w:val="ro-RO"/>
              </w:rPr>
              <w:t>1.1.</w:t>
            </w:r>
            <w:r w:rsidR="00176B50">
              <w:rPr>
                <w:rFonts w:asciiTheme="minorHAnsi" w:hAnsiTheme="minorHAnsi" w:cs="Times New Roman"/>
                <w:sz w:val="24"/>
                <w:szCs w:val="24"/>
                <w:lang w:val="ro-RO"/>
              </w:rPr>
              <w:t>2</w:t>
            </w:r>
            <w:bookmarkStart w:id="0" w:name="_GoBack"/>
            <w:bookmarkEnd w:id="0"/>
          </w:p>
        </w:tc>
        <w:tc>
          <w:tcPr>
            <w:tcW w:w="3969" w:type="dxa"/>
          </w:tcPr>
          <w:p w:rsidR="00D00882" w:rsidRDefault="00D00882" w:rsidP="00451495">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Prin contractare în contextul acestui indicator se înțelege semnarea contractelor de achiziții din cadrul proiectelor.</w:t>
            </w:r>
          </w:p>
          <w:p w:rsidR="00D00882" w:rsidRPr="0056015A" w:rsidRDefault="00D00882" w:rsidP="00D00882">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Sunt avute în vedere proiectele pentru care AM POC a semnat contracte de finanțare cu MSI, în calitate de beneficiar.</w:t>
            </w:r>
          </w:p>
        </w:tc>
        <w:tc>
          <w:tcPr>
            <w:tcW w:w="4678" w:type="dxa"/>
          </w:tcPr>
          <w:p w:rsidR="00D00882" w:rsidRDefault="00D00882" w:rsidP="00D00882">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R = ∑</w:t>
            </w:r>
            <w:r w:rsidRPr="003166C1">
              <w:rPr>
                <w:rFonts w:asciiTheme="minorHAnsi" w:hAnsiTheme="minorHAnsi" w:cs="Times New Roman"/>
                <w:sz w:val="24"/>
                <w:szCs w:val="24"/>
                <w:lang w:val="ro-RO"/>
              </w:rPr>
              <w:t>P</w:t>
            </w:r>
            <w:r w:rsidRPr="00D00882">
              <w:rPr>
                <w:rFonts w:asciiTheme="minorHAnsi" w:hAnsiTheme="minorHAnsi" w:cs="Times New Roman"/>
                <w:sz w:val="24"/>
                <w:szCs w:val="24"/>
                <w:vertAlign w:val="subscript"/>
                <w:lang w:val="ro-RO"/>
              </w:rPr>
              <w:t>1</w:t>
            </w:r>
            <w:r>
              <w:rPr>
                <w:rFonts w:asciiTheme="minorHAnsi" w:hAnsiTheme="minorHAnsi" w:cs="Times New Roman"/>
                <w:sz w:val="24"/>
                <w:szCs w:val="24"/>
                <w:vertAlign w:val="subscript"/>
                <w:lang w:val="ro-RO"/>
              </w:rPr>
              <w:t>-n</w:t>
            </w:r>
            <w:r w:rsidRPr="003166C1">
              <w:rPr>
                <w:rFonts w:asciiTheme="minorHAnsi" w:hAnsiTheme="minorHAnsi" w:cs="Times New Roman"/>
                <w:sz w:val="24"/>
                <w:szCs w:val="24"/>
                <w:lang w:val="ro-RO"/>
              </w:rPr>
              <w:t>/</w:t>
            </w:r>
            <w:r>
              <w:rPr>
                <w:rFonts w:asciiTheme="minorHAnsi" w:hAnsiTheme="minorHAnsi" w:cs="Times New Roman"/>
                <w:sz w:val="24"/>
                <w:szCs w:val="24"/>
                <w:lang w:val="ro-RO"/>
              </w:rPr>
              <w:t>n</w:t>
            </w:r>
          </w:p>
          <w:p w:rsidR="00D00882" w:rsidRDefault="00D00882" w:rsidP="00D00882">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R = rată de contractare</w:t>
            </w:r>
          </w:p>
          <w:p w:rsidR="00DF6687" w:rsidRDefault="00D00882" w:rsidP="00D00882">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P = Procent între numărul de contracte de achiziții semnate și numărul de proceduri de achiziție planificate în cadrul unui proiect.</w:t>
            </w:r>
          </w:p>
          <w:p w:rsidR="00D00882" w:rsidRPr="0056015A" w:rsidRDefault="00D00882" w:rsidP="00D00882">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 xml:space="preserve">N = număr de proiecte </w:t>
            </w:r>
          </w:p>
        </w:tc>
      </w:tr>
      <w:tr w:rsidR="00DF6687" w:rsidRPr="00F91DF2" w:rsidTr="0056015A">
        <w:tc>
          <w:tcPr>
            <w:tcW w:w="4428" w:type="dxa"/>
          </w:tcPr>
          <w:p w:rsidR="00DF6687" w:rsidRPr="00E464A1" w:rsidRDefault="00DF6687" w:rsidP="00E464A1">
            <w:pPr>
              <w:spacing w:before="120" w:after="120" w:line="240" w:lineRule="auto"/>
              <w:jc w:val="both"/>
              <w:rPr>
                <w:rFonts w:asciiTheme="minorHAnsi" w:hAnsiTheme="minorHAnsi" w:cs="Times New Roman"/>
                <w:sz w:val="24"/>
                <w:szCs w:val="24"/>
                <w:lang w:val="ro-RO"/>
              </w:rPr>
            </w:pPr>
            <w:r w:rsidRPr="00E464A1">
              <w:rPr>
                <w:rFonts w:asciiTheme="minorHAnsi" w:hAnsiTheme="minorHAnsi" w:cs="Times New Roman"/>
                <w:sz w:val="24"/>
                <w:szCs w:val="24"/>
                <w:lang w:val="ro-RO"/>
              </w:rPr>
              <w:t>6S1’’ - Rată de contractare a alocării totale aferente ITI din cadrul programelor operaționale finanțate din fondurile structurale și de coeziune</w:t>
            </w:r>
          </w:p>
        </w:tc>
        <w:tc>
          <w:tcPr>
            <w:tcW w:w="1740" w:type="dxa"/>
          </w:tcPr>
          <w:p w:rsidR="00DF6687" w:rsidRPr="0056015A" w:rsidRDefault="00DF6687" w:rsidP="00DF6687">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1.1/ Acțiune</w:t>
            </w:r>
            <w:r w:rsidRPr="0056015A" w:rsidDel="00847529">
              <w:rPr>
                <w:rFonts w:asciiTheme="minorHAnsi" w:hAnsiTheme="minorHAnsi" w:cs="Times New Roman"/>
                <w:sz w:val="24"/>
                <w:szCs w:val="24"/>
                <w:lang w:val="ro-RO"/>
              </w:rPr>
              <w:t xml:space="preserve"> </w:t>
            </w:r>
            <w:r w:rsidRPr="0056015A">
              <w:rPr>
                <w:rFonts w:asciiTheme="minorHAnsi" w:hAnsiTheme="minorHAnsi" w:cs="Times New Roman"/>
                <w:sz w:val="24"/>
                <w:szCs w:val="24"/>
                <w:lang w:val="ro-RO"/>
              </w:rPr>
              <w:t>1.1.</w:t>
            </w:r>
            <w:r>
              <w:rPr>
                <w:rFonts w:asciiTheme="minorHAnsi" w:hAnsiTheme="minorHAnsi" w:cs="Times New Roman"/>
                <w:sz w:val="24"/>
                <w:szCs w:val="24"/>
                <w:lang w:val="ro-RO"/>
              </w:rPr>
              <w:t>2</w:t>
            </w:r>
          </w:p>
        </w:tc>
        <w:tc>
          <w:tcPr>
            <w:tcW w:w="3969" w:type="dxa"/>
          </w:tcPr>
          <w:p w:rsidR="00DF6687" w:rsidRDefault="00DF6687" w:rsidP="00E464A1">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 xml:space="preserve">Alocarea totală aferentă ITI este prevăzută în cadrul programelor operaționale la </w:t>
            </w:r>
            <w:r w:rsidRPr="00E464A1">
              <w:rPr>
                <w:rFonts w:asciiTheme="minorHAnsi" w:hAnsiTheme="minorHAnsi" w:cs="Times New Roman"/>
                <w:sz w:val="24"/>
                <w:szCs w:val="24"/>
                <w:lang w:val="ro-RO"/>
              </w:rPr>
              <w:t xml:space="preserve">Secțiunea 4. Abordarea Integrată </w:t>
            </w:r>
            <w:r>
              <w:rPr>
                <w:rFonts w:asciiTheme="minorHAnsi" w:hAnsiTheme="minorHAnsi" w:cs="Times New Roman"/>
                <w:sz w:val="24"/>
                <w:szCs w:val="24"/>
                <w:lang w:val="ro-RO"/>
              </w:rPr>
              <w:t>a</w:t>
            </w:r>
            <w:r w:rsidRPr="00E464A1">
              <w:rPr>
                <w:rFonts w:asciiTheme="minorHAnsi" w:hAnsiTheme="minorHAnsi" w:cs="Times New Roman"/>
                <w:sz w:val="24"/>
                <w:szCs w:val="24"/>
                <w:lang w:val="ro-RO"/>
              </w:rPr>
              <w:t xml:space="preserve"> Dezvoltării Teritoriale</w:t>
            </w:r>
            <w:r>
              <w:rPr>
                <w:rFonts w:asciiTheme="minorHAnsi" w:hAnsiTheme="minorHAnsi" w:cs="Times New Roman"/>
                <w:sz w:val="24"/>
                <w:szCs w:val="24"/>
                <w:lang w:val="ro-RO"/>
              </w:rPr>
              <w:t xml:space="preserve"> – pct. </w:t>
            </w:r>
            <w:r w:rsidRPr="00E464A1">
              <w:rPr>
                <w:rFonts w:asciiTheme="minorHAnsi" w:hAnsiTheme="minorHAnsi" w:cs="Times New Roman"/>
                <w:sz w:val="24"/>
                <w:szCs w:val="24"/>
                <w:lang w:val="ro-RO"/>
              </w:rPr>
              <w:t>4.3 Investiția teritorială integrată (ITI)</w:t>
            </w:r>
            <w:r w:rsidR="00D00882">
              <w:rPr>
                <w:rFonts w:asciiTheme="minorHAnsi" w:hAnsiTheme="minorHAnsi" w:cs="Times New Roman"/>
                <w:sz w:val="24"/>
                <w:szCs w:val="24"/>
                <w:lang w:val="ro-RO"/>
              </w:rPr>
              <w:t>.</w:t>
            </w:r>
          </w:p>
          <w:p w:rsidR="00DF6687" w:rsidRDefault="00DF6687" w:rsidP="00E464A1">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Valoarea contractată este valoarea conform contractului de finanțare semnat cu autoritatea de management pentru programul operațional din care este finanțat proiectul.</w:t>
            </w:r>
          </w:p>
          <w:p w:rsidR="00DF6687" w:rsidRPr="0056015A" w:rsidRDefault="00DF6687" w:rsidP="00E464A1">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Sunt luate în considerare proiectele incluse în Planul de acțiune ITI.</w:t>
            </w:r>
          </w:p>
        </w:tc>
        <w:tc>
          <w:tcPr>
            <w:tcW w:w="4678" w:type="dxa"/>
          </w:tcPr>
          <w:p w:rsidR="00DF6687" w:rsidRPr="0056015A" w:rsidRDefault="00DF6687" w:rsidP="00E464A1">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Procent între suma valorilor din FESI contractate ale proiectelor din planul de acțiune ITI și suma alocărilor aferente ITI din cadrul programelor operaționale.</w:t>
            </w: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6S7 – Zile participanți la instruire </w:t>
            </w:r>
            <w:r>
              <w:rPr>
                <w:rFonts w:asciiTheme="minorHAnsi" w:hAnsiTheme="minorHAnsi" w:cs="Times New Roman"/>
                <w:sz w:val="24"/>
                <w:szCs w:val="24"/>
                <w:lang w:val="ro-RO"/>
              </w:rPr>
              <w:t>–</w:t>
            </w:r>
            <w:r w:rsidRPr="0056015A">
              <w:rPr>
                <w:rFonts w:asciiTheme="minorHAnsi" w:hAnsiTheme="minorHAnsi" w:cs="Times New Roman"/>
                <w:sz w:val="24"/>
                <w:szCs w:val="24"/>
                <w:lang w:val="ro-RO"/>
              </w:rPr>
              <w:t xml:space="preserve"> beneficiari</w:t>
            </w:r>
            <w:r>
              <w:rPr>
                <w:rFonts w:asciiTheme="minorHAnsi" w:hAnsiTheme="minorHAnsi" w:cs="Times New Roman"/>
                <w:sz w:val="24"/>
                <w:szCs w:val="24"/>
                <w:lang w:val="ro-RO"/>
              </w:rPr>
              <w:t xml:space="preserve">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451495">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AP 1/OS 1.1/ Acțiune</w:t>
            </w:r>
            <w:r w:rsidRPr="0056015A" w:rsidDel="00847529">
              <w:rPr>
                <w:rFonts w:asciiTheme="minorHAnsi" w:hAnsiTheme="minorHAnsi" w:cs="Times New Roman"/>
                <w:sz w:val="24"/>
                <w:szCs w:val="24"/>
                <w:lang w:val="ro-RO"/>
              </w:rPr>
              <w:t xml:space="preserve"> </w:t>
            </w:r>
            <w:r w:rsidRPr="0056015A">
              <w:rPr>
                <w:rFonts w:asciiTheme="minorHAnsi" w:hAnsiTheme="minorHAnsi" w:cs="Times New Roman"/>
                <w:sz w:val="24"/>
                <w:szCs w:val="24"/>
                <w:lang w:val="ro-RO"/>
              </w:rPr>
              <w:t>1.1.1</w:t>
            </w:r>
          </w:p>
        </w:tc>
        <w:tc>
          <w:tcPr>
            <w:tcW w:w="3969"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Durata instruirii, exprimată în zile.</w:t>
            </w:r>
          </w:p>
          <w:p w:rsidR="00DF6687" w:rsidRPr="0056015A" w:rsidRDefault="00DF6687" w:rsidP="004411FE">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"Beneficiar" se referă la personalul autorităţii/instituţiei/entităţi private </w:t>
            </w:r>
            <w:r w:rsidRPr="0056015A">
              <w:rPr>
                <w:rFonts w:asciiTheme="minorHAnsi" w:hAnsiTheme="minorHAnsi" w:cs="Times New Roman"/>
                <w:sz w:val="24"/>
                <w:szCs w:val="24"/>
                <w:lang w:val="ro-RO"/>
              </w:rPr>
              <w:lastRenderedPageBreak/>
              <w:t xml:space="preserve">care beneficiază de sprijin FESI, precum şi </w:t>
            </w:r>
            <w:r>
              <w:rPr>
                <w:rFonts w:asciiTheme="minorHAnsi" w:hAnsiTheme="minorHAnsi" w:cs="Times New Roman"/>
                <w:sz w:val="24"/>
                <w:szCs w:val="24"/>
                <w:lang w:val="ro-RO"/>
              </w:rPr>
              <w:t xml:space="preserve">la </w:t>
            </w:r>
            <w:r w:rsidRPr="0056015A">
              <w:rPr>
                <w:rFonts w:asciiTheme="minorHAnsi" w:hAnsiTheme="minorHAnsi" w:cs="Times New Roman"/>
                <w:sz w:val="24"/>
                <w:szCs w:val="24"/>
                <w:lang w:val="ro-RO"/>
              </w:rPr>
              <w:t>“beneficiar potenţial”</w:t>
            </w:r>
            <w:r>
              <w:rPr>
                <w:rFonts w:asciiTheme="minorHAnsi" w:hAnsiTheme="minorHAnsi" w:cs="Times New Roman"/>
                <w:sz w:val="24"/>
                <w:szCs w:val="24"/>
                <w:lang w:val="ro-RO"/>
              </w:rPr>
              <w:t xml:space="preserve"> care reprezintă </w:t>
            </w:r>
            <w:r w:rsidRPr="00A976BA">
              <w:rPr>
                <w:rFonts w:asciiTheme="minorHAnsi" w:hAnsiTheme="minorHAnsi" w:cs="Times New Roman"/>
                <w:sz w:val="24"/>
                <w:szCs w:val="24"/>
                <w:lang w:val="ro-RO"/>
              </w:rPr>
              <w:t>personalul</w:t>
            </w:r>
            <w:r>
              <w:rPr>
                <w:rFonts w:asciiTheme="minorHAnsi" w:hAnsiTheme="minorHAnsi" w:cs="Times New Roman"/>
                <w:sz w:val="24"/>
                <w:szCs w:val="24"/>
                <w:lang w:val="ro-RO"/>
              </w:rPr>
              <w:t xml:space="preserve"> oricărei autorităţi</w:t>
            </w:r>
            <w:r w:rsidRPr="00A976BA">
              <w:rPr>
                <w:rFonts w:asciiTheme="minorHAnsi" w:hAnsiTheme="minorHAnsi" w:cs="Times New Roman"/>
                <w:sz w:val="24"/>
                <w:szCs w:val="24"/>
                <w:lang w:val="ro-RO"/>
              </w:rPr>
              <w:t>/instituţie/entit</w:t>
            </w:r>
            <w:r>
              <w:rPr>
                <w:rFonts w:asciiTheme="minorHAnsi" w:hAnsiTheme="minorHAnsi" w:cs="Times New Roman"/>
                <w:sz w:val="24"/>
                <w:szCs w:val="24"/>
                <w:lang w:val="ro-RO"/>
              </w:rPr>
              <w:t>ate</w:t>
            </w:r>
            <w:r w:rsidRPr="00A976BA">
              <w:rPr>
                <w:rFonts w:asciiTheme="minorHAnsi" w:hAnsiTheme="minorHAnsi" w:cs="Times New Roman"/>
                <w:sz w:val="24"/>
                <w:szCs w:val="24"/>
                <w:lang w:val="ro-RO"/>
              </w:rPr>
              <w:t xml:space="preserve"> privat</w:t>
            </w:r>
            <w:r>
              <w:rPr>
                <w:rFonts w:asciiTheme="minorHAnsi" w:hAnsiTheme="minorHAnsi" w:cs="Times New Roman"/>
                <w:sz w:val="24"/>
                <w:szCs w:val="24"/>
                <w:lang w:val="ro-RO"/>
              </w:rPr>
              <w:t xml:space="preserve">ă care se încadrează potențial eligibilă din FESI </w:t>
            </w:r>
            <w:r w:rsidRPr="0056015A">
              <w:rPr>
                <w:rFonts w:asciiTheme="minorHAnsi" w:hAnsiTheme="minorHAnsi" w:cs="Times New Roman"/>
                <w:sz w:val="24"/>
                <w:szCs w:val="24"/>
                <w:lang w:val="ro-RO"/>
              </w:rPr>
              <w:t>.</w:t>
            </w:r>
          </w:p>
        </w:tc>
        <w:tc>
          <w:tcPr>
            <w:tcW w:w="467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Numărul de participanţi pentru fiecare zi de formare din cadrul instruirii finanţate.</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r>
      <w:tr w:rsidR="00DF6687" w:rsidRPr="00556B48"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6S8 – Aplicații de finanțare pentru proiecte</w:t>
            </w:r>
            <w:r>
              <w:rPr>
                <w:rFonts w:asciiTheme="minorHAnsi" w:hAnsiTheme="minorHAnsi" w:cs="Times New Roman"/>
                <w:sz w:val="24"/>
                <w:szCs w:val="24"/>
                <w:lang w:val="ro-RO"/>
              </w:rPr>
              <w:t xml:space="preserve"> de infrastructură</w:t>
            </w:r>
            <w:r w:rsidRPr="0056015A">
              <w:rPr>
                <w:rFonts w:asciiTheme="minorHAnsi" w:hAnsiTheme="minorHAnsi" w:cs="Times New Roman"/>
                <w:sz w:val="24"/>
                <w:szCs w:val="24"/>
                <w:lang w:val="ro-RO"/>
              </w:rPr>
              <w:t xml:space="preserve"> </w:t>
            </w:r>
            <w:r>
              <w:rPr>
                <w:rFonts w:asciiTheme="minorHAnsi" w:hAnsiTheme="minorHAnsi" w:cs="Times New Roman"/>
                <w:sz w:val="24"/>
                <w:szCs w:val="24"/>
                <w:lang w:val="ro-RO"/>
              </w:rPr>
              <w:t xml:space="preserve">finanțate din POIM și POC </w:t>
            </w:r>
            <w:r w:rsidRPr="0056015A">
              <w:rPr>
                <w:rFonts w:asciiTheme="minorHAnsi" w:hAnsiTheme="minorHAnsi" w:cs="Times New Roman"/>
                <w:sz w:val="24"/>
                <w:szCs w:val="24"/>
                <w:lang w:val="ro-RO"/>
              </w:rPr>
              <w:t>a căror dezvoltare a fost sprijinită</w:t>
            </w:r>
            <w:r>
              <w:rPr>
                <w:rFonts w:asciiTheme="minorHAnsi" w:hAnsiTheme="minorHAnsi" w:cs="Times New Roman"/>
                <w:sz w:val="24"/>
                <w:szCs w:val="24"/>
                <w:lang w:val="ro-RO"/>
              </w:rPr>
              <w:t xml:space="preserve"> din POAT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1.1/ Acțiune 1.1.2</w:t>
            </w:r>
          </w:p>
        </w:tc>
        <w:tc>
          <w:tcPr>
            <w:tcW w:w="3969"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Indicatorul reprezintă numărul de aplicaţii de finanţare pentru proiectele</w:t>
            </w:r>
            <w:r>
              <w:rPr>
                <w:rFonts w:asciiTheme="minorHAnsi" w:hAnsiTheme="minorHAnsi" w:cs="Times New Roman"/>
                <w:sz w:val="24"/>
                <w:szCs w:val="24"/>
                <w:lang w:val="ro-RO"/>
              </w:rPr>
              <w:t xml:space="preserve"> de infrastructură</w:t>
            </w:r>
            <w:r w:rsidRPr="0056015A">
              <w:rPr>
                <w:rFonts w:asciiTheme="minorHAnsi" w:hAnsiTheme="minorHAnsi" w:cs="Times New Roman"/>
                <w:sz w:val="24"/>
                <w:szCs w:val="24"/>
                <w:lang w:val="ro-RO"/>
              </w:rPr>
              <w:t xml:space="preserve"> </w:t>
            </w:r>
            <w:r>
              <w:rPr>
                <w:rFonts w:asciiTheme="minorHAnsi" w:hAnsiTheme="minorHAnsi" w:cs="Times New Roman"/>
                <w:sz w:val="24"/>
                <w:szCs w:val="24"/>
                <w:lang w:val="ro-RO"/>
              </w:rPr>
              <w:t xml:space="preserve">finanțate din </w:t>
            </w:r>
            <w:r w:rsidRPr="004411FE">
              <w:rPr>
                <w:rFonts w:asciiTheme="minorHAnsi" w:hAnsiTheme="minorHAnsi" w:cs="Times New Roman"/>
                <w:sz w:val="24"/>
                <w:szCs w:val="24"/>
                <w:lang w:val="ro-RO"/>
              </w:rPr>
              <w:t>PO Competitivitate şi PO Infrastructură Mare</w:t>
            </w:r>
            <w:r w:rsidRPr="0056015A">
              <w:rPr>
                <w:rFonts w:asciiTheme="minorHAnsi" w:hAnsiTheme="minorHAnsi" w:cs="Times New Roman"/>
                <w:sz w:val="24"/>
                <w:szCs w:val="24"/>
                <w:lang w:val="ro-RO"/>
              </w:rPr>
              <w:t xml:space="preserve"> a căror elaborare a fost finanţată prin POAT.</w:t>
            </w:r>
          </w:p>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Sprijinul furnizat de POAT este sub forma serviciilor de consultanţă, expertiză tehnică, suport în pregătirea aplicaţiilor de finanţare, elaborarea studiilor de (pre)fezabilitate, elaborarea documentaţiei de atribuire, realizarea analizei cost-beneficiu, planuri de investiţii, cadru instituţional etc.</w:t>
            </w:r>
          </w:p>
        </w:tc>
        <w:tc>
          <w:tcPr>
            <w:tcW w:w="467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Numărul de proiecte </w:t>
            </w:r>
            <w:r>
              <w:rPr>
                <w:rFonts w:asciiTheme="minorHAnsi" w:hAnsiTheme="minorHAnsi" w:cs="Times New Roman"/>
                <w:sz w:val="24"/>
                <w:szCs w:val="24"/>
                <w:lang w:val="ro-RO"/>
              </w:rPr>
              <w:t>de infrastructură</w:t>
            </w:r>
            <w:r w:rsidRPr="0056015A">
              <w:rPr>
                <w:rFonts w:asciiTheme="minorHAnsi" w:hAnsiTheme="minorHAnsi" w:cs="Times New Roman"/>
                <w:sz w:val="24"/>
                <w:szCs w:val="24"/>
                <w:lang w:val="ro-RO"/>
              </w:rPr>
              <w:t xml:space="preserve"> </w:t>
            </w:r>
            <w:r>
              <w:rPr>
                <w:rFonts w:asciiTheme="minorHAnsi" w:hAnsiTheme="minorHAnsi" w:cs="Times New Roman"/>
                <w:sz w:val="24"/>
                <w:szCs w:val="24"/>
                <w:lang w:val="ro-RO"/>
              </w:rPr>
              <w:t>finanțate din POIM and POC,</w:t>
            </w:r>
            <w:r w:rsidRPr="0056015A">
              <w:rPr>
                <w:rFonts w:asciiTheme="minorHAnsi" w:hAnsiTheme="minorHAnsi" w:cs="Times New Roman"/>
                <w:sz w:val="24"/>
                <w:szCs w:val="24"/>
                <w:lang w:val="ro-RO"/>
              </w:rPr>
              <w:t xml:space="preserve"> a căror dezvoltare a fost finanţată prin POAT.</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r>
      <w:tr w:rsidR="00DF6687" w:rsidRPr="00556B48" w:rsidTr="0056015A">
        <w:tc>
          <w:tcPr>
            <w:tcW w:w="4428" w:type="dxa"/>
          </w:tcPr>
          <w:p w:rsidR="00DF6687" w:rsidRPr="003166C1" w:rsidRDefault="00DF6687" w:rsidP="00F91DF2">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6S9 – Număr personal din structura care coordonează ITI, ale căror salarii sunt co-finanțate din POAT – echivalent normă întreagă anual (</w:t>
            </w:r>
            <w:r w:rsidRPr="003166C1">
              <w:rPr>
                <w:rFonts w:asciiTheme="minorHAnsi" w:hAnsiTheme="minorHAnsi" w:cs="Times New Roman"/>
                <w:i/>
                <w:sz w:val="24"/>
                <w:szCs w:val="24"/>
                <w:lang w:val="ro-RO"/>
              </w:rPr>
              <w:t>full time equivalents</w:t>
            </w:r>
            <w:r w:rsidRPr="003166C1">
              <w:rPr>
                <w:rFonts w:asciiTheme="minorHAnsi" w:hAnsiTheme="minorHAnsi" w:cs="Times New Roman"/>
                <w:sz w:val="24"/>
                <w:szCs w:val="24"/>
                <w:lang w:val="ro-RO"/>
              </w:rPr>
              <w:t>)</w:t>
            </w:r>
            <w:r>
              <w:rPr>
                <w:rFonts w:asciiTheme="minorHAnsi" w:hAnsiTheme="minorHAnsi" w:cs="Times New Roman"/>
                <w:sz w:val="24"/>
                <w:szCs w:val="24"/>
                <w:lang w:val="ro-RO"/>
              </w:rPr>
              <w:t xml:space="preserve"> (nr)</w:t>
            </w:r>
          </w:p>
          <w:p w:rsidR="00DF6687" w:rsidRPr="003166C1"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3166C1" w:rsidRDefault="00DF6687" w:rsidP="00F91DF2">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AP 1/OS 1.1/ Acțiunea</w:t>
            </w:r>
            <w:r>
              <w:rPr>
                <w:rFonts w:asciiTheme="minorHAnsi" w:hAnsiTheme="minorHAnsi" w:cs="Times New Roman"/>
                <w:sz w:val="24"/>
                <w:szCs w:val="24"/>
                <w:lang w:val="ro-RO"/>
              </w:rPr>
              <w:t xml:space="preserve"> </w:t>
            </w:r>
            <w:r w:rsidRPr="003166C1">
              <w:rPr>
                <w:rFonts w:asciiTheme="minorHAnsi" w:hAnsiTheme="minorHAnsi" w:cs="Times New Roman"/>
                <w:sz w:val="24"/>
                <w:szCs w:val="24"/>
                <w:lang w:val="ro-RO"/>
              </w:rPr>
              <w:t>1.1.2</w:t>
            </w:r>
          </w:p>
        </w:tc>
        <w:tc>
          <w:tcPr>
            <w:tcW w:w="3969" w:type="dxa"/>
          </w:tcPr>
          <w:p w:rsidR="00DF6687" w:rsidRPr="003166C1" w:rsidRDefault="00DF6687" w:rsidP="00714F66">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Acest indicator se referă la numărul de personal din structura care coordonează ITI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full time 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p w:rsidR="00DF6687" w:rsidRPr="003166C1" w:rsidRDefault="00DF6687" w:rsidP="00F91DF2">
            <w:pPr>
              <w:spacing w:before="120" w:after="120" w:line="240" w:lineRule="auto"/>
              <w:jc w:val="both"/>
              <w:rPr>
                <w:rFonts w:asciiTheme="minorHAnsi" w:hAnsiTheme="minorHAnsi" w:cs="Times New Roman"/>
                <w:sz w:val="24"/>
                <w:szCs w:val="24"/>
                <w:lang w:val="ro-RO"/>
              </w:rPr>
            </w:pPr>
          </w:p>
        </w:tc>
        <w:tc>
          <w:tcPr>
            <w:tcW w:w="4678" w:type="dxa"/>
          </w:tcPr>
          <w:p w:rsidR="00DF6687" w:rsidRPr="003166C1" w:rsidRDefault="00DF6687" w:rsidP="002D1BE9">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E = numărul de personal din structura care coordonează ITI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full time 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p w:rsidR="00DF6687" w:rsidRPr="003166C1" w:rsidRDefault="00DF6687" w:rsidP="002D1BE9">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E = (∑(Pn*r)</w:t>
            </w:r>
            <w:r w:rsidRPr="003166C1">
              <w:rPr>
                <w:rFonts w:asciiTheme="minorHAnsi" w:hAnsiTheme="minorHAnsi" w:cs="Times New Roman"/>
                <w:sz w:val="24"/>
                <w:szCs w:val="24"/>
                <w:vertAlign w:val="subscript"/>
                <w:lang w:val="ro-RO"/>
              </w:rPr>
              <w:t>1</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2</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12</w:t>
            </w:r>
            <w:r w:rsidRPr="003166C1">
              <w:rPr>
                <w:rFonts w:asciiTheme="minorHAnsi" w:hAnsiTheme="minorHAnsi" w:cs="Times New Roman"/>
                <w:sz w:val="24"/>
                <w:szCs w:val="24"/>
                <w:lang w:val="ro-RO"/>
              </w:rPr>
              <w:t>)/12, unde</w:t>
            </w:r>
          </w:p>
          <w:p w:rsidR="00DF6687" w:rsidRPr="003166C1" w:rsidRDefault="00DF6687" w:rsidP="002D1BE9">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P = persoană din structura de coordonare a ITI, al cărui salariu este co-finanțat din POAT </w:t>
            </w:r>
            <w:r w:rsidRPr="003166C1">
              <w:rPr>
                <w:rFonts w:asciiTheme="minorHAnsi" w:hAnsiTheme="minorHAnsi" w:cs="Times New Roman"/>
                <w:sz w:val="24"/>
                <w:szCs w:val="24"/>
                <w:lang w:val="ro-RO"/>
              </w:rPr>
              <w:lastRenderedPageBreak/>
              <w:t>în luna 1</w:t>
            </w:r>
          </w:p>
          <w:p w:rsidR="00DF6687" w:rsidRPr="003166C1" w:rsidRDefault="00DF6687" w:rsidP="002D1BE9">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n = numărul de angajați din structura de coordonare a ITI</w:t>
            </w:r>
          </w:p>
          <w:p w:rsidR="00DF6687" w:rsidRPr="003166C1" w:rsidRDefault="00DF6687" w:rsidP="002D1BE9">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r = procentul de atribuții aferente coordonării ITI</w:t>
            </w:r>
          </w:p>
        </w:tc>
      </w:tr>
      <w:tr w:rsidR="00DF6687" w:rsidRPr="00556B48" w:rsidTr="00451495">
        <w:tc>
          <w:tcPr>
            <w:tcW w:w="4428" w:type="dxa"/>
          </w:tcPr>
          <w:p w:rsidR="00DF6687" w:rsidRPr="00E464A1" w:rsidRDefault="00DF6687" w:rsidP="00451495">
            <w:pPr>
              <w:spacing w:before="120" w:after="120" w:line="240" w:lineRule="auto"/>
              <w:jc w:val="both"/>
              <w:rPr>
                <w:rFonts w:asciiTheme="minorHAnsi" w:hAnsiTheme="minorHAnsi" w:cs="Times New Roman"/>
                <w:sz w:val="24"/>
                <w:szCs w:val="24"/>
                <w:lang w:val="ro-RO"/>
              </w:rPr>
            </w:pPr>
            <w:r w:rsidRPr="00E464A1">
              <w:rPr>
                <w:rFonts w:asciiTheme="minorHAnsi" w:hAnsiTheme="minorHAnsi" w:cs="Times New Roman"/>
                <w:sz w:val="24"/>
                <w:szCs w:val="24"/>
                <w:lang w:val="ro-RO"/>
              </w:rPr>
              <w:lastRenderedPageBreak/>
              <w:t xml:space="preserve">6S9’ </w:t>
            </w:r>
            <w:r>
              <w:rPr>
                <w:rFonts w:asciiTheme="minorHAnsi" w:hAnsiTheme="minorHAnsi" w:cs="Times New Roman"/>
                <w:sz w:val="24"/>
                <w:szCs w:val="24"/>
                <w:lang w:val="ro-RO"/>
              </w:rPr>
              <w:t xml:space="preserve">- </w:t>
            </w:r>
            <w:r w:rsidRPr="00E464A1">
              <w:rPr>
                <w:rFonts w:asciiTheme="minorHAnsi" w:hAnsiTheme="minorHAnsi" w:cs="Times New Roman"/>
                <w:sz w:val="24"/>
                <w:szCs w:val="24"/>
                <w:lang w:val="ro-RO"/>
              </w:rPr>
              <w:t>Număr personal din unitatea de gestiune a arhitecturii guvernamentale integrate IT, ale căror salarii sunt cofinanțate din POAT - echivalent normă întreagă anual</w:t>
            </w:r>
          </w:p>
        </w:tc>
        <w:tc>
          <w:tcPr>
            <w:tcW w:w="1740" w:type="dxa"/>
          </w:tcPr>
          <w:p w:rsidR="00DF6687" w:rsidRPr="003166C1" w:rsidRDefault="00DF6687" w:rsidP="00451495">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AP 1/OS 1.1/ Acțiunea1.1.2</w:t>
            </w:r>
          </w:p>
        </w:tc>
        <w:tc>
          <w:tcPr>
            <w:tcW w:w="3969" w:type="dxa"/>
          </w:tcPr>
          <w:p w:rsidR="00DF6687" w:rsidRPr="003166C1" w:rsidRDefault="00DF6687" w:rsidP="00451495">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Acest indicator se referă la numărul de personal din </w:t>
            </w:r>
            <w:r w:rsidRPr="00E464A1">
              <w:rPr>
                <w:rFonts w:asciiTheme="minorHAnsi" w:hAnsiTheme="minorHAnsi" w:cs="Times New Roman"/>
                <w:sz w:val="24"/>
                <w:szCs w:val="24"/>
                <w:lang w:val="ro-RO"/>
              </w:rPr>
              <w:t>unitatea de gestiune a arhitecturii guvernamentale integrate IT</w:t>
            </w:r>
            <w:r w:rsidRPr="003166C1">
              <w:rPr>
                <w:rFonts w:asciiTheme="minorHAnsi" w:hAnsiTheme="minorHAnsi" w:cs="Times New Roman"/>
                <w:sz w:val="24"/>
                <w:szCs w:val="24"/>
                <w:lang w:val="ro-RO"/>
              </w:rPr>
              <w:t xml:space="preserve">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full time 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tc>
        <w:tc>
          <w:tcPr>
            <w:tcW w:w="4678" w:type="dxa"/>
          </w:tcPr>
          <w:p w:rsidR="00DF6687" w:rsidRPr="003166C1" w:rsidRDefault="00DF6687" w:rsidP="00451495">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E = numărul de personal din </w:t>
            </w:r>
            <w:r w:rsidRPr="00E464A1">
              <w:rPr>
                <w:rFonts w:asciiTheme="minorHAnsi" w:hAnsiTheme="minorHAnsi" w:cs="Times New Roman"/>
                <w:sz w:val="24"/>
                <w:szCs w:val="24"/>
                <w:lang w:val="ro-RO"/>
              </w:rPr>
              <w:t>unitatea de gestiune a arhitecturii guvernamentale integrate IT</w:t>
            </w:r>
            <w:r w:rsidRPr="003166C1">
              <w:rPr>
                <w:rFonts w:asciiTheme="minorHAnsi" w:hAnsiTheme="minorHAnsi" w:cs="Times New Roman"/>
                <w:sz w:val="24"/>
                <w:szCs w:val="24"/>
                <w:lang w:val="ro-RO"/>
              </w:rPr>
              <w:t xml:space="preserve">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full time 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p w:rsidR="00DF6687" w:rsidRPr="003166C1" w:rsidRDefault="00DF6687" w:rsidP="00451495">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E = (∑(Pn*r)</w:t>
            </w:r>
            <w:r w:rsidRPr="003166C1">
              <w:rPr>
                <w:rFonts w:asciiTheme="minorHAnsi" w:hAnsiTheme="minorHAnsi" w:cs="Times New Roman"/>
                <w:sz w:val="24"/>
                <w:szCs w:val="24"/>
                <w:vertAlign w:val="subscript"/>
                <w:lang w:val="ro-RO"/>
              </w:rPr>
              <w:t>1</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2</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12</w:t>
            </w:r>
            <w:r w:rsidRPr="003166C1">
              <w:rPr>
                <w:rFonts w:asciiTheme="minorHAnsi" w:hAnsiTheme="minorHAnsi" w:cs="Times New Roman"/>
                <w:sz w:val="24"/>
                <w:szCs w:val="24"/>
                <w:lang w:val="ro-RO"/>
              </w:rPr>
              <w:t>)/12, unde</w:t>
            </w:r>
          </w:p>
          <w:p w:rsidR="00DF6687" w:rsidRPr="003166C1" w:rsidRDefault="00DF6687" w:rsidP="00451495">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P = persoană din </w:t>
            </w:r>
            <w:r w:rsidRPr="00E464A1">
              <w:rPr>
                <w:rFonts w:asciiTheme="minorHAnsi" w:hAnsiTheme="minorHAnsi" w:cs="Times New Roman"/>
                <w:sz w:val="24"/>
                <w:szCs w:val="24"/>
                <w:lang w:val="ro-RO"/>
              </w:rPr>
              <w:t>unitatea de gestiune a arhitecturii guvernamentale integrate IT</w:t>
            </w:r>
            <w:r w:rsidRPr="003166C1">
              <w:rPr>
                <w:rFonts w:asciiTheme="minorHAnsi" w:hAnsiTheme="minorHAnsi" w:cs="Times New Roman"/>
                <w:sz w:val="24"/>
                <w:szCs w:val="24"/>
                <w:lang w:val="ro-RO"/>
              </w:rPr>
              <w:t>, al cărui salariu este co-finanțat din POAT în luna 1</w:t>
            </w:r>
          </w:p>
          <w:p w:rsidR="00DF6687" w:rsidRPr="003166C1" w:rsidRDefault="00DF6687" w:rsidP="00451495">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n = numărul de angajați din </w:t>
            </w:r>
            <w:r w:rsidRPr="00E464A1">
              <w:rPr>
                <w:rFonts w:asciiTheme="minorHAnsi" w:hAnsiTheme="minorHAnsi" w:cs="Times New Roman"/>
                <w:sz w:val="24"/>
                <w:szCs w:val="24"/>
                <w:lang w:val="ro-RO"/>
              </w:rPr>
              <w:t>unitatea de gestiune a arhitecturii guvernamentale integrate IT</w:t>
            </w:r>
          </w:p>
          <w:p w:rsidR="00DF6687" w:rsidRPr="003166C1" w:rsidRDefault="00DF6687" w:rsidP="00DF6687">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r = procentul de atribuții aferente </w:t>
            </w:r>
            <w:r>
              <w:rPr>
                <w:rFonts w:asciiTheme="minorHAnsi" w:hAnsiTheme="minorHAnsi" w:cs="Times New Roman"/>
                <w:sz w:val="24"/>
                <w:szCs w:val="24"/>
                <w:lang w:val="ro-RO"/>
              </w:rPr>
              <w:t>gestionări proiectelor IT</w:t>
            </w: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6S10 – Materiale de informare și publicitate elaborate </w:t>
            </w:r>
            <w:r>
              <w:rPr>
                <w:rFonts w:asciiTheme="minorHAnsi" w:hAnsiTheme="minorHAnsi" w:cs="Times New Roman"/>
                <w:sz w:val="24"/>
                <w:szCs w:val="24"/>
                <w:lang w:val="ro-RO"/>
              </w:rPr>
              <w:t>–</w:t>
            </w:r>
            <w:r w:rsidRPr="0056015A">
              <w:rPr>
                <w:rFonts w:asciiTheme="minorHAnsi" w:hAnsiTheme="minorHAnsi" w:cs="Times New Roman"/>
                <w:sz w:val="24"/>
                <w:szCs w:val="24"/>
                <w:lang w:val="ro-RO"/>
              </w:rPr>
              <w:t xml:space="preserve"> ediţii</w:t>
            </w:r>
            <w:r>
              <w:rPr>
                <w:rFonts w:asciiTheme="minorHAnsi" w:hAnsiTheme="minorHAnsi" w:cs="Times New Roman"/>
                <w:sz w:val="24"/>
                <w:szCs w:val="24"/>
                <w:lang w:val="ro-RO"/>
              </w:rPr>
              <w:t xml:space="preserve">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1.2/ Acțiunea 1.2.1</w:t>
            </w:r>
          </w:p>
        </w:tc>
        <w:tc>
          <w:tcPr>
            <w:tcW w:w="3969" w:type="dxa"/>
          </w:tcPr>
          <w:p w:rsidR="00DF6687" w:rsidRPr="0056015A" w:rsidRDefault="00DF6687" w:rsidP="004411FE">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Materialele/ articolele care sunt printate</w:t>
            </w:r>
            <w:r>
              <w:rPr>
                <w:rFonts w:asciiTheme="minorHAnsi" w:hAnsiTheme="minorHAnsi" w:cs="Times New Roman"/>
                <w:sz w:val="24"/>
                <w:szCs w:val="24"/>
                <w:lang w:val="ro-RO"/>
              </w:rPr>
              <w:t>/elaborate</w:t>
            </w:r>
            <w:r w:rsidRPr="0056015A">
              <w:rPr>
                <w:rFonts w:asciiTheme="minorHAnsi" w:hAnsiTheme="minorHAnsi" w:cs="Times New Roman"/>
                <w:sz w:val="24"/>
                <w:szCs w:val="24"/>
                <w:lang w:val="ro-RO"/>
              </w:rPr>
              <w:t xml:space="preserve"> cu scopul de a informa şi promova FESI şi oportunităţile oferite de programele operaţionale (publicaţii, broşuri, fluturaşi, CD-uri etc.).</w:t>
            </w:r>
          </w:p>
        </w:tc>
        <w:tc>
          <w:tcPr>
            <w:tcW w:w="4678" w:type="dxa"/>
          </w:tcPr>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ediţii a materialelor/ articolelor care au fost finanţate în perioada de raportare</w:t>
            </w:r>
          </w:p>
          <w:p w:rsidR="00DF6687" w:rsidRPr="0056015A"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6S11 – Campanii organizate</w:t>
            </w:r>
            <w:r>
              <w:rPr>
                <w:rFonts w:asciiTheme="minorHAnsi" w:hAnsiTheme="minorHAnsi" w:cs="Times New Roman"/>
                <w:sz w:val="24"/>
                <w:szCs w:val="24"/>
                <w:lang w:val="ro-RO"/>
              </w:rPr>
              <w:t xml:space="preserve">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1.2/ Acțiunea 1.2.1</w:t>
            </w:r>
          </w:p>
        </w:tc>
        <w:tc>
          <w:tcPr>
            <w:tcW w:w="3969"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"Campania" se referă la activităţile de informare şi publicitate definite în timp şi în spaţiu, privind transmiterea de mesaje integrate şi coordonate cu privire la acelaşi subiect referitor la FESI, prin diferite canale şi suporturi media (radio, TV, presă).</w:t>
            </w:r>
          </w:p>
        </w:tc>
        <w:tc>
          <w:tcPr>
            <w:tcW w:w="4678" w:type="dxa"/>
          </w:tcPr>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campanii finanţate în perioada de raportare</w:t>
            </w:r>
          </w:p>
          <w:p w:rsidR="00DF6687" w:rsidRPr="0056015A"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6S12 -  Solicitări care au fost soluționate de rețeaua de Centre de informare</w:t>
            </w:r>
            <w:r>
              <w:rPr>
                <w:rFonts w:asciiTheme="minorHAnsi" w:hAnsiTheme="minorHAnsi" w:cs="Times New Roman"/>
                <w:sz w:val="24"/>
                <w:szCs w:val="24"/>
                <w:lang w:val="ro-RO"/>
              </w:rPr>
              <w:t xml:space="preserve">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1/OS 1.2/ Acțiunea 1.2.1</w:t>
            </w:r>
          </w:p>
        </w:tc>
        <w:tc>
          <w:tcPr>
            <w:tcW w:w="3969" w:type="dxa"/>
          </w:tcPr>
          <w:p w:rsidR="00DF6687" w:rsidRPr="0056015A" w:rsidRDefault="00DF6687" w:rsidP="004411FE">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solicitări înregistrate la nivelul rețelei centrelor de informare (41 pe întreg teritoriul şi în Bucure</w:t>
            </w:r>
            <w:r>
              <w:rPr>
                <w:rFonts w:asciiTheme="minorHAnsi" w:hAnsiTheme="minorHAnsi" w:cs="Times New Roman"/>
                <w:sz w:val="24"/>
                <w:szCs w:val="24"/>
                <w:lang w:val="ro-RO"/>
              </w:rPr>
              <w:t>ș</w:t>
            </w:r>
            <w:r w:rsidRPr="0056015A">
              <w:rPr>
                <w:rFonts w:asciiTheme="minorHAnsi" w:hAnsiTheme="minorHAnsi" w:cs="Times New Roman"/>
                <w:sz w:val="24"/>
                <w:szCs w:val="24"/>
                <w:lang w:val="ro-RO"/>
              </w:rPr>
              <w:t>ti) care au primit răspuns. O solicitare va fi considerată o interogare de clarificare primită de la o persoană la un moment dat. O solicitare primită de la un beneficiar poate acoperi una sau mai multe teme şi poate include schimbul de informaţii şi clarificări suplimentare.</w:t>
            </w:r>
          </w:p>
        </w:tc>
        <w:tc>
          <w:tcPr>
            <w:tcW w:w="4678" w:type="dxa"/>
          </w:tcPr>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solicitări înregistrate la nivelul rețelei de centre de informare în perioada de raportare având în vedere că au fost asigurate costurile de operare ale respectivelor centre de informare.</w:t>
            </w:r>
          </w:p>
          <w:p w:rsidR="00DF6687" w:rsidRPr="0056015A"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7B298B" w:rsidRDefault="00DF6687" w:rsidP="00F91DF2">
            <w:pPr>
              <w:spacing w:before="120" w:after="120" w:line="240" w:lineRule="auto"/>
              <w:jc w:val="both"/>
              <w:rPr>
                <w:rFonts w:asciiTheme="minorHAnsi" w:hAnsiTheme="minorHAnsi" w:cs="Times New Roman"/>
                <w:sz w:val="24"/>
                <w:szCs w:val="24"/>
                <w:lang w:val="ro-RO"/>
              </w:rPr>
            </w:pPr>
            <w:r w:rsidRPr="007B298B">
              <w:rPr>
                <w:rFonts w:asciiTheme="minorHAnsi" w:hAnsiTheme="minorHAnsi" w:cs="Times New Roman"/>
                <w:sz w:val="24"/>
                <w:szCs w:val="24"/>
                <w:lang w:val="ro-RO"/>
              </w:rPr>
              <w:t xml:space="preserve">6S13 - </w:t>
            </w:r>
            <w:r>
              <w:rPr>
                <w:rFonts w:asciiTheme="minorHAnsi" w:hAnsiTheme="minorHAnsi" w:cs="Times New Roman"/>
                <w:sz w:val="24"/>
                <w:szCs w:val="24"/>
                <w:lang w:val="ro-RO"/>
              </w:rPr>
              <w:t>Sesiuni</w:t>
            </w:r>
            <w:r w:rsidRPr="007B298B">
              <w:rPr>
                <w:rFonts w:asciiTheme="minorHAnsi" w:hAnsiTheme="minorHAnsi" w:cs="Times New Roman"/>
                <w:sz w:val="24"/>
                <w:szCs w:val="24"/>
                <w:lang w:val="ro-RO"/>
              </w:rPr>
              <w:t xml:space="preserve"> pe site/portal înregistrate</w:t>
            </w:r>
            <w:r>
              <w:rPr>
                <w:rFonts w:asciiTheme="minorHAnsi" w:hAnsiTheme="minorHAnsi" w:cs="Times New Roman"/>
                <w:sz w:val="24"/>
                <w:szCs w:val="24"/>
                <w:lang w:val="ro-RO"/>
              </w:rPr>
              <w:t xml:space="preserve"> (nr)</w:t>
            </w:r>
          </w:p>
          <w:p w:rsidR="00DF6687" w:rsidRPr="007B298B" w:rsidRDefault="00DF6687" w:rsidP="00F91DF2">
            <w:pPr>
              <w:spacing w:before="120" w:after="120" w:line="240" w:lineRule="auto"/>
              <w:jc w:val="both"/>
              <w:rPr>
                <w:rFonts w:asciiTheme="minorHAnsi" w:hAnsiTheme="minorHAnsi" w:cs="Times New Roman"/>
                <w:sz w:val="24"/>
                <w:szCs w:val="24"/>
                <w:lang w:val="ro-RO"/>
              </w:rPr>
            </w:pPr>
          </w:p>
          <w:p w:rsidR="00DF6687" w:rsidRPr="007B298B"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7B298B" w:rsidRDefault="00DF6687" w:rsidP="00F91DF2">
            <w:pPr>
              <w:spacing w:before="120" w:after="120" w:line="240" w:lineRule="auto"/>
              <w:jc w:val="both"/>
              <w:rPr>
                <w:rFonts w:asciiTheme="minorHAnsi" w:hAnsiTheme="minorHAnsi" w:cs="Times New Roman"/>
                <w:sz w:val="24"/>
                <w:szCs w:val="24"/>
                <w:lang w:val="ro-RO"/>
              </w:rPr>
            </w:pPr>
            <w:r w:rsidRPr="007B298B">
              <w:rPr>
                <w:rFonts w:asciiTheme="minorHAnsi" w:hAnsiTheme="minorHAnsi" w:cs="Times New Roman"/>
                <w:sz w:val="24"/>
                <w:szCs w:val="24"/>
                <w:lang w:val="ro-RO"/>
              </w:rPr>
              <w:t>AP 1/OS 1.2/ Acțiunea</w:t>
            </w:r>
            <w:r>
              <w:rPr>
                <w:rFonts w:asciiTheme="minorHAnsi" w:hAnsiTheme="minorHAnsi" w:cs="Times New Roman"/>
                <w:sz w:val="24"/>
                <w:szCs w:val="24"/>
                <w:lang w:val="ro-RO"/>
              </w:rPr>
              <w:t xml:space="preserve"> </w:t>
            </w:r>
            <w:r w:rsidRPr="007B298B">
              <w:rPr>
                <w:rFonts w:asciiTheme="minorHAnsi" w:hAnsiTheme="minorHAnsi" w:cs="Times New Roman"/>
                <w:sz w:val="24"/>
                <w:szCs w:val="24"/>
                <w:lang w:val="ro-RO"/>
              </w:rPr>
              <w:t>1.2.1</w:t>
            </w:r>
          </w:p>
        </w:tc>
        <w:tc>
          <w:tcPr>
            <w:tcW w:w="3969" w:type="dxa"/>
          </w:tcPr>
          <w:p w:rsidR="00DF6687" w:rsidRPr="007B298B" w:rsidRDefault="00DF6687" w:rsidP="00F91DF2">
            <w:pPr>
              <w:spacing w:before="120" w:after="120" w:line="240" w:lineRule="auto"/>
              <w:jc w:val="both"/>
              <w:rPr>
                <w:rFonts w:asciiTheme="minorHAnsi" w:hAnsiTheme="minorHAnsi" w:cs="Times New Roman"/>
                <w:sz w:val="24"/>
                <w:szCs w:val="24"/>
                <w:lang w:val="ro-RO"/>
              </w:rPr>
            </w:pPr>
            <w:r w:rsidRPr="007B298B">
              <w:rPr>
                <w:rFonts w:asciiTheme="minorHAnsi" w:hAnsiTheme="minorHAnsi" w:cs="Times New Roman"/>
                <w:sz w:val="24"/>
                <w:szCs w:val="24"/>
                <w:lang w:val="ro-RO"/>
              </w:rPr>
              <w:t xml:space="preserve">Numărul de </w:t>
            </w:r>
            <w:r>
              <w:rPr>
                <w:rFonts w:asciiTheme="minorHAnsi" w:hAnsiTheme="minorHAnsi" w:cs="Times New Roman"/>
                <w:sz w:val="24"/>
                <w:szCs w:val="24"/>
                <w:lang w:val="ro-RO"/>
              </w:rPr>
              <w:t>sesiuni înregistrate pe</w:t>
            </w:r>
            <w:r w:rsidRPr="007B298B">
              <w:rPr>
                <w:rFonts w:asciiTheme="minorHAnsi" w:hAnsiTheme="minorHAnsi" w:cs="Times New Roman"/>
                <w:sz w:val="24"/>
                <w:szCs w:val="24"/>
                <w:lang w:val="ro-RO"/>
              </w:rPr>
              <w:t xml:space="preserve"> </w:t>
            </w:r>
            <w:hyperlink r:id="rId8" w:history="1">
              <w:r w:rsidRPr="007B298B">
                <w:rPr>
                  <w:rStyle w:val="Hyperlink"/>
                  <w:rFonts w:asciiTheme="minorHAnsi" w:hAnsiTheme="minorHAnsi" w:cs="Times New Roman"/>
                  <w:sz w:val="24"/>
                  <w:szCs w:val="24"/>
                  <w:lang w:val="ro-RO"/>
                </w:rPr>
                <w:t>www.fonduri-ue.ro</w:t>
              </w:r>
            </w:hyperlink>
            <w:r w:rsidRPr="007B298B">
              <w:rPr>
                <w:rFonts w:asciiTheme="minorHAnsi" w:hAnsiTheme="minorHAnsi" w:cs="Times New Roman"/>
                <w:sz w:val="24"/>
                <w:szCs w:val="24"/>
                <w:lang w:val="ro-RO"/>
              </w:rPr>
              <w:t xml:space="preserve"> care durează mai mult de un minut.</w:t>
            </w:r>
          </w:p>
          <w:p w:rsidR="00DF6687" w:rsidRPr="007B298B" w:rsidRDefault="00DF6687" w:rsidP="00C002D7">
            <w:pPr>
              <w:spacing w:before="120" w:after="120" w:line="240" w:lineRule="auto"/>
              <w:jc w:val="both"/>
              <w:rPr>
                <w:rFonts w:asciiTheme="minorHAnsi" w:hAnsiTheme="minorHAnsi" w:cs="Times New Roman"/>
                <w:sz w:val="24"/>
                <w:szCs w:val="24"/>
                <w:lang w:val="ro-RO"/>
              </w:rPr>
            </w:pPr>
            <w:r>
              <w:rPr>
                <w:rFonts w:asciiTheme="minorHAnsi" w:hAnsiTheme="minorHAnsi" w:cs="Times New Roman"/>
                <w:sz w:val="24"/>
                <w:szCs w:val="24"/>
                <w:lang w:val="ro-RO"/>
              </w:rPr>
              <w:t xml:space="preserve">O sesiune este perioada de timp în care o persoană vizualizează pagini pe (browse) site-ul </w:t>
            </w:r>
            <w:hyperlink r:id="rId9" w:history="1">
              <w:r w:rsidRPr="004344D9">
                <w:rPr>
                  <w:rStyle w:val="Hyperlink"/>
                  <w:rFonts w:asciiTheme="minorHAnsi" w:hAnsiTheme="minorHAnsi" w:cs="Times New Roman"/>
                  <w:sz w:val="24"/>
                  <w:szCs w:val="24"/>
                  <w:lang w:val="ro-RO"/>
                </w:rPr>
                <w:t>www.fonduri-ue.ro</w:t>
              </w:r>
            </w:hyperlink>
            <w:r>
              <w:rPr>
                <w:rFonts w:asciiTheme="minorHAnsi" w:hAnsiTheme="minorHAnsi" w:cs="Times New Roman"/>
                <w:sz w:val="24"/>
                <w:szCs w:val="24"/>
                <w:lang w:val="ro-RO"/>
              </w:rPr>
              <w:t>.</w:t>
            </w:r>
          </w:p>
        </w:tc>
        <w:tc>
          <w:tcPr>
            <w:tcW w:w="4678" w:type="dxa"/>
          </w:tcPr>
          <w:p w:rsidR="00DF6687" w:rsidRPr="007B298B" w:rsidRDefault="00DF6687" w:rsidP="004411FE">
            <w:pPr>
              <w:spacing w:before="120" w:after="120" w:line="240" w:lineRule="auto"/>
              <w:jc w:val="both"/>
              <w:rPr>
                <w:rFonts w:asciiTheme="minorHAnsi" w:hAnsiTheme="minorHAnsi" w:cs="Times New Roman"/>
                <w:sz w:val="24"/>
                <w:szCs w:val="24"/>
                <w:lang w:val="ro-RO"/>
              </w:rPr>
            </w:pPr>
            <w:r w:rsidRPr="007B298B">
              <w:rPr>
                <w:rFonts w:asciiTheme="minorHAnsi" w:hAnsiTheme="minorHAnsi" w:cs="Times New Roman"/>
                <w:sz w:val="24"/>
                <w:szCs w:val="24"/>
                <w:lang w:val="ro-RO"/>
              </w:rPr>
              <w:t xml:space="preserve">Numărul de </w:t>
            </w:r>
            <w:r>
              <w:rPr>
                <w:rFonts w:asciiTheme="minorHAnsi" w:hAnsiTheme="minorHAnsi" w:cs="Times New Roman"/>
                <w:sz w:val="24"/>
                <w:szCs w:val="24"/>
                <w:lang w:val="ro-RO"/>
              </w:rPr>
              <w:t>sesiuni înregistrate pe</w:t>
            </w:r>
            <w:r w:rsidRPr="007B298B">
              <w:rPr>
                <w:rFonts w:asciiTheme="minorHAnsi" w:hAnsiTheme="minorHAnsi" w:cs="Times New Roman"/>
                <w:sz w:val="24"/>
                <w:szCs w:val="24"/>
                <w:lang w:val="ro-RO"/>
              </w:rPr>
              <w:t xml:space="preserve"> </w:t>
            </w:r>
            <w:hyperlink r:id="rId10" w:history="1">
              <w:r w:rsidRPr="007B298B">
                <w:rPr>
                  <w:rStyle w:val="Hyperlink"/>
                  <w:rFonts w:asciiTheme="minorHAnsi" w:hAnsiTheme="minorHAnsi" w:cs="Times New Roman"/>
                  <w:sz w:val="24"/>
                  <w:szCs w:val="24"/>
                  <w:lang w:val="ro-RO"/>
                </w:rPr>
                <w:t>www.fonduri-ue.ro</w:t>
              </w:r>
            </w:hyperlink>
            <w:r w:rsidRPr="007B298B">
              <w:rPr>
                <w:rFonts w:asciiTheme="minorHAnsi" w:hAnsiTheme="minorHAnsi" w:cs="Times New Roman"/>
                <w:sz w:val="24"/>
                <w:szCs w:val="24"/>
                <w:lang w:val="ro-RO"/>
              </w:rPr>
              <w:t xml:space="preserve"> în perioada de raportare</w:t>
            </w:r>
            <w:r>
              <w:rPr>
                <w:rFonts w:asciiTheme="minorHAnsi" w:hAnsiTheme="minorHAnsi" w:cs="Times New Roman"/>
                <w:sz w:val="24"/>
                <w:szCs w:val="24"/>
                <w:lang w:val="ro-RO"/>
              </w:rPr>
              <w:t>.</w:t>
            </w:r>
            <w:r w:rsidRPr="007B298B">
              <w:rPr>
                <w:rFonts w:asciiTheme="minorHAnsi" w:hAnsiTheme="minorHAnsi" w:cs="Times New Roman"/>
                <w:sz w:val="24"/>
                <w:szCs w:val="24"/>
                <w:lang w:val="ro-RO"/>
              </w:rPr>
              <w:t xml:space="preserve"> </w:t>
            </w: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6S14 – Evaluări şi studii elaborate</w:t>
            </w:r>
            <w:r>
              <w:rPr>
                <w:rFonts w:asciiTheme="minorHAnsi" w:hAnsiTheme="minorHAnsi" w:cs="Times New Roman"/>
                <w:sz w:val="24"/>
                <w:szCs w:val="24"/>
                <w:lang w:val="ro-RO"/>
              </w:rPr>
              <w:t xml:space="preserve"> (nr)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AP 2/OS 2.1/ Acțiunea 2.1.1 și Acțiunea </w:t>
            </w:r>
            <w:r w:rsidRPr="0056015A">
              <w:rPr>
                <w:rFonts w:asciiTheme="minorHAnsi" w:hAnsiTheme="minorHAnsi" w:cs="Times New Roman"/>
                <w:sz w:val="24"/>
                <w:szCs w:val="24"/>
                <w:lang w:val="ro-RO"/>
              </w:rPr>
              <w:lastRenderedPageBreak/>
              <w:t>2.1.2</w:t>
            </w:r>
          </w:p>
        </w:tc>
        <w:tc>
          <w:tcPr>
            <w:tcW w:w="3969" w:type="dxa"/>
          </w:tcPr>
          <w:p w:rsidR="00DF6687" w:rsidRPr="0056015A" w:rsidRDefault="00DF6687" w:rsidP="00D12E1B">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Evaluările sau studiile elaborate se referă la rapoartele de evaluare finală sau studiile finale</w:t>
            </w:r>
            <w:r>
              <w:rPr>
                <w:rFonts w:asciiTheme="minorHAnsi" w:hAnsiTheme="minorHAnsi" w:cs="Times New Roman"/>
                <w:sz w:val="24"/>
                <w:szCs w:val="24"/>
                <w:lang w:val="ro-RO"/>
              </w:rPr>
              <w:t>.</w:t>
            </w:r>
          </w:p>
        </w:tc>
        <w:tc>
          <w:tcPr>
            <w:tcW w:w="4678" w:type="dxa"/>
          </w:tcPr>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evaluări şi studii finale finanţate în perioada de raportare.</w:t>
            </w:r>
          </w:p>
          <w:p w:rsidR="00DF6687" w:rsidRPr="0056015A"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2D1BE9" w:rsidRDefault="00DF6687" w:rsidP="00F91DF2">
            <w:pPr>
              <w:spacing w:before="120" w:after="120" w:line="240" w:lineRule="auto"/>
              <w:jc w:val="both"/>
              <w:rPr>
                <w:rFonts w:asciiTheme="minorHAnsi" w:hAnsiTheme="minorHAnsi" w:cs="Times New Roman"/>
                <w:sz w:val="24"/>
                <w:szCs w:val="24"/>
                <w:lang w:val="ro-RO"/>
              </w:rPr>
            </w:pPr>
            <w:r w:rsidRPr="002D1BE9">
              <w:rPr>
                <w:rFonts w:asciiTheme="minorHAnsi" w:hAnsiTheme="minorHAnsi" w:cs="Times New Roman"/>
                <w:sz w:val="24"/>
                <w:szCs w:val="24"/>
                <w:lang w:val="ro-RO"/>
              </w:rPr>
              <w:lastRenderedPageBreak/>
              <w:t xml:space="preserve">6S15 – Structuri de coordonare/ gestionare/control FESI ale căror logistică și funcționare a fost sprijinită </w:t>
            </w:r>
            <w:r w:rsidRPr="00F51650">
              <w:rPr>
                <w:rFonts w:asciiTheme="minorHAnsi" w:hAnsiTheme="minorHAnsi" w:cs="Times New Roman"/>
                <w:sz w:val="24"/>
                <w:szCs w:val="24"/>
                <w:lang w:val="ro-RO"/>
              </w:rPr>
              <w:t>anual</w:t>
            </w:r>
            <w:r w:rsidRPr="002D1BE9">
              <w:rPr>
                <w:rFonts w:asciiTheme="minorHAnsi" w:hAnsiTheme="minorHAnsi" w:cs="Times New Roman"/>
                <w:sz w:val="24"/>
                <w:szCs w:val="24"/>
                <w:lang w:val="ro-RO"/>
              </w:rPr>
              <w:t>, inclusiv echipamente și licențe pentru funcționarea SMIS 2014+</w:t>
            </w:r>
            <w:r>
              <w:rPr>
                <w:rFonts w:asciiTheme="minorHAnsi" w:hAnsiTheme="minorHAnsi" w:cs="Times New Roman"/>
                <w:sz w:val="24"/>
                <w:szCs w:val="24"/>
                <w:lang w:val="ro-RO"/>
              </w:rPr>
              <w:t xml:space="preserve"> (nr)</w:t>
            </w:r>
          </w:p>
          <w:p w:rsidR="00DF6687" w:rsidRPr="00E70526"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p>
          <w:p w:rsidR="00DF6687" w:rsidRPr="00F51650" w:rsidRDefault="00DF6687" w:rsidP="004411FE">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PA 2/SO 2.1/ Acțiunea 2.1.1</w:t>
            </w:r>
          </w:p>
        </w:tc>
        <w:tc>
          <w:tcPr>
            <w:tcW w:w="3969"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 xml:space="preserve">Structurile implicate în coordonarea/ gestionarea/ controlul FESI ale căror logistică şi funcționare au fost sprijinite anual din POAT. Structurile sunt instituţii publice (sau structuri ale instituţiilor publice) care au beneficiat de sprijin POAT şi care sunt responsabile cu coordonarea şi controlul FESI şi gestionarea POIM, POC şi POAT. </w:t>
            </w:r>
          </w:p>
          <w:p w:rsidR="00DF6687" w:rsidRPr="002D1BE9"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Sprijinul cuprinde cheltuieli pentru asigurarea condițiilor logistice sau a asistenței sub formă de consultanță în vederea asigurării funcționării.</w:t>
            </w:r>
          </w:p>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2D1BE9">
              <w:rPr>
                <w:rFonts w:asciiTheme="minorHAnsi" w:hAnsiTheme="minorHAnsi" w:cs="Times New Roman"/>
                <w:sz w:val="24"/>
                <w:szCs w:val="24"/>
                <w:lang w:val="ro-RO"/>
              </w:rPr>
              <w:t>Structurile de coordonare şi control includ Ministerul Fondurilor Europene, Autoritatea de Certificare şi Plată, Autoritatea de Audit, DLAF, ANRMAP, UCVAP</w:t>
            </w:r>
            <w:r>
              <w:rPr>
                <w:rFonts w:asciiTheme="minorHAnsi" w:hAnsiTheme="minorHAnsi" w:cs="Times New Roman"/>
                <w:sz w:val="24"/>
                <w:szCs w:val="24"/>
                <w:lang w:val="ro-RO"/>
              </w:rPr>
              <w:t>/CVAP</w:t>
            </w:r>
            <w:r w:rsidRPr="002D1BE9">
              <w:rPr>
                <w:rFonts w:asciiTheme="minorHAnsi" w:hAnsiTheme="minorHAnsi" w:cs="Times New Roman"/>
                <w:sz w:val="24"/>
                <w:szCs w:val="24"/>
                <w:lang w:val="ro-RO"/>
              </w:rPr>
              <w:t xml:space="preserve"> şi alte structuri desemnate pentru coordonarea şi controlul FESI daca este necesar. Structurile de </w:t>
            </w:r>
            <w:r w:rsidRPr="00E70526">
              <w:rPr>
                <w:rFonts w:asciiTheme="minorHAnsi" w:hAnsiTheme="minorHAnsi" w:cs="Times New Roman"/>
                <w:sz w:val="24"/>
                <w:szCs w:val="24"/>
                <w:lang w:val="ro-RO"/>
              </w:rPr>
              <w:t>gestionare sunt compuse din Autorităţi de Management şi Organisme Intermediare</w:t>
            </w:r>
            <w:r w:rsidRPr="00F51650">
              <w:rPr>
                <w:rFonts w:asciiTheme="minorHAnsi" w:hAnsiTheme="minorHAnsi" w:cs="Times New Roman"/>
                <w:sz w:val="24"/>
                <w:szCs w:val="24"/>
                <w:lang w:val="ro-RO"/>
              </w:rPr>
              <w:t xml:space="preserve"> pentru POAT, POIM și POC.</w:t>
            </w:r>
          </w:p>
        </w:tc>
        <w:tc>
          <w:tcPr>
            <w:tcW w:w="4678" w:type="dxa"/>
          </w:tcPr>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Numărul de structuri implicate în coordonarea/ gestionarea/ controlul FESI ale căror logistică şi funcționare au fost sprijinite din POAT în perioada de raportare.</w:t>
            </w:r>
          </w:p>
          <w:p w:rsidR="00DF6687" w:rsidRPr="0056015A"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6S16 – Proiecte a căror </w:t>
            </w:r>
            <w:r w:rsidRPr="0056015A">
              <w:rPr>
                <w:rFonts w:asciiTheme="minorHAnsi" w:hAnsiTheme="minorHAnsi" w:cs="Times New Roman"/>
                <w:sz w:val="24"/>
                <w:szCs w:val="24"/>
                <w:lang w:val="ro-RO"/>
              </w:rPr>
              <w:lastRenderedPageBreak/>
              <w:t xml:space="preserve">evaluare/contractare/monitorizare/control a fost asigurată </w:t>
            </w:r>
            <w:r>
              <w:rPr>
                <w:rFonts w:asciiTheme="minorHAnsi" w:hAnsiTheme="minorHAnsi" w:cs="Times New Roman"/>
                <w:sz w:val="24"/>
                <w:szCs w:val="24"/>
                <w:lang w:val="ro-RO"/>
              </w:rPr>
              <w:t>(nr)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 xml:space="preserve">AP 2/OS 2.2/ </w:t>
            </w:r>
            <w:r w:rsidRPr="0056015A">
              <w:rPr>
                <w:rFonts w:asciiTheme="minorHAnsi" w:hAnsiTheme="minorHAnsi" w:cs="Times New Roman"/>
                <w:sz w:val="24"/>
                <w:szCs w:val="24"/>
                <w:lang w:val="ro-RO"/>
              </w:rPr>
              <w:lastRenderedPageBreak/>
              <w:t>Acţiunea 2.1.1</w:t>
            </w:r>
          </w:p>
        </w:tc>
        <w:tc>
          <w:tcPr>
            <w:tcW w:w="3969" w:type="dxa"/>
          </w:tcPr>
          <w:p w:rsidR="00DF6687" w:rsidRPr="0056015A" w:rsidRDefault="00DF6687" w:rsidP="00D11021">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 xml:space="preserve">Număr de proiecte pentru care a fost </w:t>
            </w:r>
            <w:r w:rsidRPr="0056015A">
              <w:rPr>
                <w:rFonts w:asciiTheme="minorHAnsi" w:hAnsiTheme="minorHAnsi" w:cs="Times New Roman"/>
                <w:sz w:val="24"/>
                <w:szCs w:val="24"/>
                <w:lang w:val="ro-RO"/>
              </w:rPr>
              <w:lastRenderedPageBreak/>
              <w:t>furnizată din POAT expertiză externă în procesul de evaluare</w:t>
            </w:r>
            <w:r>
              <w:rPr>
                <w:rFonts w:asciiTheme="minorHAnsi" w:hAnsiTheme="minorHAnsi" w:cs="Times New Roman"/>
                <w:sz w:val="24"/>
                <w:szCs w:val="24"/>
                <w:lang w:val="ro-RO"/>
              </w:rPr>
              <w:t>/</w:t>
            </w:r>
            <w:r w:rsidRPr="0056015A">
              <w:rPr>
                <w:rFonts w:asciiTheme="minorHAnsi" w:hAnsiTheme="minorHAnsi" w:cs="Times New Roman"/>
                <w:sz w:val="24"/>
                <w:szCs w:val="24"/>
                <w:lang w:val="ro-RO"/>
              </w:rPr>
              <w:t>contractare monitorizare</w:t>
            </w:r>
            <w:r>
              <w:rPr>
                <w:rFonts w:asciiTheme="minorHAnsi" w:hAnsiTheme="minorHAnsi" w:cs="Times New Roman"/>
                <w:sz w:val="24"/>
                <w:szCs w:val="24"/>
                <w:lang w:val="ro-RO"/>
              </w:rPr>
              <w:t>/</w:t>
            </w:r>
            <w:r w:rsidRPr="0056015A">
              <w:rPr>
                <w:rFonts w:asciiTheme="minorHAnsi" w:hAnsiTheme="minorHAnsi" w:cs="Times New Roman"/>
                <w:sz w:val="24"/>
                <w:szCs w:val="24"/>
                <w:lang w:val="ro-RO"/>
              </w:rPr>
              <w:t>control</w:t>
            </w:r>
            <w:r>
              <w:rPr>
                <w:rFonts w:asciiTheme="minorHAnsi" w:hAnsiTheme="minorHAnsi" w:cs="Times New Roman"/>
                <w:sz w:val="24"/>
                <w:szCs w:val="24"/>
                <w:lang w:val="ro-RO"/>
              </w:rPr>
              <w:t xml:space="preserve">. </w:t>
            </w:r>
          </w:p>
        </w:tc>
        <w:tc>
          <w:tcPr>
            <w:tcW w:w="4678" w:type="dxa"/>
          </w:tcPr>
          <w:p w:rsidR="00DF6687" w:rsidRPr="0056015A" w:rsidRDefault="00DF6687" w:rsidP="00D11021">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 xml:space="preserve">Număr de proiecte pentru care a fost </w:t>
            </w:r>
            <w:r w:rsidRPr="0056015A">
              <w:rPr>
                <w:rFonts w:asciiTheme="minorHAnsi" w:hAnsiTheme="minorHAnsi" w:cs="Times New Roman"/>
                <w:sz w:val="24"/>
                <w:szCs w:val="24"/>
                <w:lang w:val="ro-RO"/>
              </w:rPr>
              <w:lastRenderedPageBreak/>
              <w:t>furnizată din POAT expertiză externă în timpul proceselor de evaluare</w:t>
            </w:r>
            <w:r>
              <w:rPr>
                <w:rFonts w:asciiTheme="minorHAnsi" w:hAnsiTheme="minorHAnsi" w:cs="Times New Roman"/>
                <w:sz w:val="24"/>
                <w:szCs w:val="24"/>
                <w:lang w:val="ro-RO"/>
              </w:rPr>
              <w:t>/</w:t>
            </w:r>
            <w:r w:rsidRPr="0056015A">
              <w:rPr>
                <w:rFonts w:asciiTheme="minorHAnsi" w:hAnsiTheme="minorHAnsi" w:cs="Times New Roman"/>
                <w:sz w:val="24"/>
                <w:szCs w:val="24"/>
                <w:lang w:val="ro-RO"/>
              </w:rPr>
              <w:t>contractare monitorizare</w:t>
            </w:r>
            <w:r>
              <w:rPr>
                <w:rFonts w:asciiTheme="minorHAnsi" w:hAnsiTheme="minorHAnsi" w:cs="Times New Roman"/>
                <w:sz w:val="24"/>
                <w:szCs w:val="24"/>
                <w:lang w:val="ro-RO"/>
              </w:rPr>
              <w:t>/</w:t>
            </w:r>
            <w:r w:rsidRPr="0056015A">
              <w:rPr>
                <w:rFonts w:asciiTheme="minorHAnsi" w:hAnsiTheme="minorHAnsi" w:cs="Times New Roman"/>
                <w:sz w:val="24"/>
                <w:szCs w:val="24"/>
                <w:lang w:val="ro-RO"/>
              </w:rPr>
              <w:t>control .</w:t>
            </w:r>
          </w:p>
        </w:tc>
      </w:tr>
      <w:tr w:rsidR="00DF6687" w:rsidRPr="00F91DF2" w:rsidTr="0056015A">
        <w:tc>
          <w:tcPr>
            <w:tcW w:w="442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lastRenderedPageBreak/>
              <w:t>6S17 - Disponibilitatea rețelei SMIS 2014+ mai mare de</w:t>
            </w:r>
            <w:r>
              <w:rPr>
                <w:rFonts w:asciiTheme="minorHAnsi" w:hAnsiTheme="minorHAnsi" w:cs="Times New Roman"/>
                <w:sz w:val="24"/>
                <w:szCs w:val="24"/>
                <w:lang w:val="ro-RO"/>
              </w:rPr>
              <w:t xml:space="preserve"> (%)</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AP 2/OS 2.2/ Acţiunea 2.2.1</w:t>
            </w:r>
          </w:p>
        </w:tc>
        <w:tc>
          <w:tcPr>
            <w:tcW w:w="3969"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Disponibilitatea se referă la procentul de timp în care reţeaua a fost funcţională şi accesibilă utilizatorilor SMIS2014+, când şi unde este necesar.</w:t>
            </w:r>
          </w:p>
          <w:p w:rsidR="00DF6687" w:rsidRPr="0056015A" w:rsidRDefault="00DF6687" w:rsidP="00F91DF2">
            <w:pPr>
              <w:spacing w:before="120" w:after="120" w:line="240" w:lineRule="auto"/>
              <w:jc w:val="both"/>
              <w:rPr>
                <w:rFonts w:asciiTheme="minorHAnsi" w:hAnsiTheme="minorHAnsi" w:cs="Times New Roman"/>
                <w:sz w:val="24"/>
                <w:szCs w:val="24"/>
                <w:lang w:val="ro-RO"/>
              </w:rPr>
            </w:pPr>
          </w:p>
        </w:tc>
        <w:tc>
          <w:tcPr>
            <w:tcW w:w="4678" w:type="dxa"/>
          </w:tcPr>
          <w:p w:rsidR="00DF6687" w:rsidRPr="0056015A" w:rsidRDefault="00DF6687" w:rsidP="00F91DF2">
            <w:pPr>
              <w:spacing w:before="120" w:after="12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Extragerea din sistemul de monitorizare al SMIS 2014+ procentul de timp în care reţeaua a fost funcţională şi accesibilă utilizatorilor SMIS2014+, când şi unde este necesar.</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 xml:space="preserve">Pmi = procent lunar per structură conectată la SMIS în anul i, când conexiunea la SMIS a fost funcţională. </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ni = numărul de structuri conectate lunar la SMIS în anul i.</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Pami = procentaj mediu lunar per sistem în anul i</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Pami =(Pmi1+Pmi2+… Pmin)/ni</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PAi = procentaj mediu anual per sistem în anul i</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PAi = (Pami1+Pami2+….+Pami12)/12</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 = procentaj mediu per sistem</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PA = (PAi+PA</w:t>
            </w:r>
            <w:r w:rsidRPr="0056015A">
              <w:rPr>
                <w:rFonts w:asciiTheme="minorHAnsi" w:hAnsiTheme="minorHAnsi" w:cs="Times New Roman"/>
                <w:sz w:val="24"/>
                <w:szCs w:val="24"/>
                <w:vertAlign w:val="subscript"/>
                <w:lang w:val="ro-RO"/>
              </w:rPr>
              <w:t>i+1</w:t>
            </w:r>
            <w:r w:rsidRPr="0056015A">
              <w:rPr>
                <w:rFonts w:asciiTheme="minorHAnsi" w:hAnsiTheme="minorHAnsi" w:cs="Times New Roman"/>
                <w:sz w:val="24"/>
                <w:szCs w:val="24"/>
                <w:lang w:val="ro-RO"/>
              </w:rPr>
              <w:t>+PA</w:t>
            </w:r>
            <w:r w:rsidRPr="0056015A">
              <w:rPr>
                <w:rFonts w:asciiTheme="minorHAnsi" w:hAnsiTheme="minorHAnsi" w:cs="Times New Roman"/>
                <w:sz w:val="24"/>
                <w:szCs w:val="24"/>
                <w:vertAlign w:val="subscript"/>
                <w:lang w:val="ro-RO"/>
              </w:rPr>
              <w:t>i+2</w:t>
            </w:r>
            <w:r w:rsidRPr="0056015A">
              <w:rPr>
                <w:rFonts w:asciiTheme="minorHAnsi" w:hAnsiTheme="minorHAnsi" w:cs="Times New Roman"/>
                <w:sz w:val="24"/>
                <w:szCs w:val="24"/>
                <w:lang w:val="ro-RO"/>
              </w:rPr>
              <w:t>+…. PA</w:t>
            </w:r>
            <w:r w:rsidRPr="0056015A">
              <w:rPr>
                <w:rFonts w:asciiTheme="minorHAnsi" w:hAnsiTheme="minorHAnsi" w:cs="Times New Roman"/>
                <w:sz w:val="24"/>
                <w:szCs w:val="24"/>
                <w:vertAlign w:val="subscript"/>
                <w:lang w:val="ro-RO"/>
              </w:rPr>
              <w:t>i+t</w:t>
            </w:r>
            <w:r w:rsidRPr="0056015A">
              <w:rPr>
                <w:rFonts w:asciiTheme="minorHAnsi" w:hAnsiTheme="minorHAnsi" w:cs="Times New Roman"/>
                <w:sz w:val="24"/>
                <w:szCs w:val="24"/>
                <w:lang w:val="ro-RO"/>
              </w:rPr>
              <w:t>)/(t+1)</w:t>
            </w:r>
          </w:p>
          <w:p w:rsidR="00DF6687" w:rsidRPr="0056015A" w:rsidRDefault="00DF6687" w:rsidP="00F91DF2">
            <w:pPr>
              <w:spacing w:before="120" w:after="0" w:line="240" w:lineRule="auto"/>
              <w:jc w:val="both"/>
              <w:rPr>
                <w:rFonts w:asciiTheme="minorHAnsi" w:hAnsiTheme="minorHAnsi" w:cs="Times New Roman"/>
                <w:sz w:val="24"/>
                <w:szCs w:val="24"/>
                <w:lang w:val="ro-RO"/>
              </w:rPr>
            </w:pPr>
            <w:r w:rsidRPr="0056015A">
              <w:rPr>
                <w:rFonts w:asciiTheme="minorHAnsi" w:hAnsiTheme="minorHAnsi" w:cs="Times New Roman"/>
                <w:sz w:val="24"/>
                <w:szCs w:val="24"/>
                <w:lang w:val="ro-RO"/>
              </w:rPr>
              <w:t>t+1 = numărul total de ani în care sunt co-finanțate costurile comunicațiilor necesare în vederea asigurării disponibilității rețelei SMIS2014+</w:t>
            </w:r>
          </w:p>
        </w:tc>
      </w:tr>
      <w:tr w:rsidR="00DF6687" w:rsidRPr="00F91DF2" w:rsidTr="0056015A">
        <w:tc>
          <w:tcPr>
            <w:tcW w:w="4428" w:type="dxa"/>
          </w:tcPr>
          <w:p w:rsidR="00DF6687" w:rsidRPr="002D1BE9" w:rsidRDefault="00DF6687" w:rsidP="00F91DF2">
            <w:pPr>
              <w:spacing w:before="120" w:after="120" w:line="240" w:lineRule="auto"/>
              <w:jc w:val="both"/>
              <w:rPr>
                <w:rFonts w:asciiTheme="minorHAnsi" w:hAnsiTheme="minorHAnsi" w:cs="Times New Roman"/>
                <w:sz w:val="24"/>
                <w:szCs w:val="24"/>
                <w:lang w:val="ro-RO"/>
              </w:rPr>
            </w:pPr>
            <w:r w:rsidRPr="002D1BE9">
              <w:rPr>
                <w:rFonts w:asciiTheme="minorHAnsi" w:hAnsiTheme="minorHAnsi" w:cs="Times New Roman"/>
                <w:sz w:val="24"/>
                <w:szCs w:val="24"/>
                <w:lang w:val="ro-RO"/>
              </w:rPr>
              <w:lastRenderedPageBreak/>
              <w:t>6S18 – Zile participanți la instruire – utilizatori sisteme informatice</w:t>
            </w:r>
            <w:r>
              <w:rPr>
                <w:rFonts w:asciiTheme="minorHAnsi" w:hAnsiTheme="minorHAnsi" w:cs="Times New Roman"/>
                <w:sz w:val="24"/>
                <w:szCs w:val="24"/>
                <w:lang w:val="ro-RO"/>
              </w:rPr>
              <w:t xml:space="preserve"> (nr)</w:t>
            </w:r>
          </w:p>
          <w:p w:rsidR="00DF6687" w:rsidRPr="00E70526"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AP 2/OS 2.2/ Acţiunea 2.2.1</w:t>
            </w:r>
          </w:p>
        </w:tc>
        <w:tc>
          <w:tcPr>
            <w:tcW w:w="3969"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Acest indicator se referă la numărul de zile de instruire finalizate, a căror costuri au fost co-finanțate din POAT, luând în considerare numărul de zile de instruire de care a beneficiat fiecare utilizator al sistemelor informatice.</w:t>
            </w:r>
          </w:p>
        </w:tc>
        <w:tc>
          <w:tcPr>
            <w:tcW w:w="4678" w:type="dxa"/>
          </w:tcPr>
          <w:p w:rsidR="00DF6687" w:rsidRPr="002D1BE9" w:rsidRDefault="00DF6687" w:rsidP="00F91DF2">
            <w:pPr>
              <w:spacing w:before="120" w:after="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Numărul participanţilor în fiecare zi de instruire a căror costuri au fost co-finanțate din POAT și care vizează utilizarea SMIS2014+, MySMIS2014 sau a altor aplicații informatice dezvoltate</w:t>
            </w:r>
            <w:r w:rsidRPr="002D1BE9">
              <w:rPr>
                <w:rFonts w:asciiTheme="minorHAnsi" w:hAnsiTheme="minorHAnsi" w:cs="Times New Roman"/>
                <w:sz w:val="24"/>
                <w:szCs w:val="24"/>
                <w:lang w:val="ro-RO"/>
              </w:rPr>
              <w:t xml:space="preserve"> </w:t>
            </w:r>
            <w:r w:rsidRPr="00F51650">
              <w:rPr>
                <w:rFonts w:asciiTheme="minorHAnsi" w:hAnsiTheme="minorHAnsi" w:cs="Times New Roman"/>
                <w:sz w:val="24"/>
                <w:szCs w:val="24"/>
                <w:lang w:val="ro-RO"/>
              </w:rPr>
              <w:t>cu sprijin POAT</w:t>
            </w:r>
          </w:p>
          <w:p w:rsidR="00DF6687" w:rsidRPr="002D1BE9"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6S19 - Zile participanți la instruire – structuri de gestionare/alte structuri</w:t>
            </w:r>
            <w:r>
              <w:rPr>
                <w:rFonts w:asciiTheme="minorHAnsi" w:hAnsiTheme="minorHAnsi" w:cs="Times New Roman"/>
                <w:sz w:val="24"/>
                <w:szCs w:val="24"/>
                <w:lang w:val="ro-RO"/>
              </w:rPr>
              <w:t xml:space="preserve"> (nr)</w:t>
            </w:r>
          </w:p>
          <w:p w:rsidR="00DF6687" w:rsidRPr="00F51650" w:rsidRDefault="00DF6687" w:rsidP="00F91DF2">
            <w:pPr>
              <w:spacing w:before="120" w:after="120" w:line="240" w:lineRule="auto"/>
              <w:jc w:val="both"/>
              <w:rPr>
                <w:rFonts w:asciiTheme="minorHAnsi" w:hAnsiTheme="minorHAnsi" w:cs="Times New Roman"/>
                <w:sz w:val="24"/>
                <w:szCs w:val="24"/>
                <w:lang w:val="ro-RO"/>
              </w:rPr>
            </w:pPr>
          </w:p>
        </w:tc>
        <w:tc>
          <w:tcPr>
            <w:tcW w:w="1740"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AP 3/OS 3.1/ Acţiunea 3.1.1</w:t>
            </w:r>
          </w:p>
        </w:tc>
        <w:tc>
          <w:tcPr>
            <w:tcW w:w="3969" w:type="dxa"/>
          </w:tcPr>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Acest indicator se referă la numărul total de zile de instruire, finalizate, a căror costuri au fost co-finanțate din POAT luând în considerare numărul de zile de instruire de care a beneficiat fiecare participant.</w:t>
            </w:r>
          </w:p>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 xml:space="preserve">Participanții sunt din cadrul personalului angajat în sistemul FESI. </w:t>
            </w:r>
          </w:p>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Sistemul FESI include toate structurile care au rol în coordonarea, gestionarea și controlul FESI.</w:t>
            </w:r>
          </w:p>
          <w:p w:rsidR="00DF6687" w:rsidRPr="00F51650" w:rsidRDefault="00DF6687" w:rsidP="00F91DF2">
            <w:pPr>
              <w:spacing w:before="120" w:after="12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 xml:space="preserve">Alte structuri reprezintă diverse structuri din instituțiile unde funcționează structurile cu rol de coordonare, gestionare și control FESI care contribuie la implementarea FESI. </w:t>
            </w:r>
          </w:p>
        </w:tc>
        <w:tc>
          <w:tcPr>
            <w:tcW w:w="4678" w:type="dxa"/>
          </w:tcPr>
          <w:p w:rsidR="00DF6687" w:rsidRPr="00F51650" w:rsidRDefault="00DF6687" w:rsidP="00F91DF2">
            <w:pPr>
              <w:spacing w:before="120" w:after="0" w:line="240" w:lineRule="auto"/>
              <w:jc w:val="both"/>
              <w:rPr>
                <w:rFonts w:asciiTheme="minorHAnsi" w:hAnsiTheme="minorHAnsi" w:cs="Times New Roman"/>
                <w:sz w:val="24"/>
                <w:szCs w:val="24"/>
                <w:lang w:val="ro-RO"/>
              </w:rPr>
            </w:pPr>
            <w:r w:rsidRPr="00F51650">
              <w:rPr>
                <w:rFonts w:asciiTheme="minorHAnsi" w:hAnsiTheme="minorHAnsi" w:cs="Times New Roman"/>
                <w:sz w:val="24"/>
                <w:szCs w:val="24"/>
                <w:lang w:val="ro-RO"/>
              </w:rPr>
              <w:t xml:space="preserve">Numărul participanţilor în fiecare zi de instruire pentru personalul din sistemul FESI. </w:t>
            </w:r>
          </w:p>
          <w:p w:rsidR="00DF6687" w:rsidRPr="00F51650" w:rsidRDefault="00DF6687" w:rsidP="00F91DF2">
            <w:pPr>
              <w:spacing w:before="120" w:after="0" w:line="240" w:lineRule="auto"/>
              <w:jc w:val="both"/>
              <w:rPr>
                <w:rFonts w:asciiTheme="minorHAnsi" w:hAnsiTheme="minorHAnsi" w:cs="Times New Roman"/>
                <w:sz w:val="24"/>
                <w:szCs w:val="24"/>
                <w:lang w:val="ro-RO"/>
              </w:rPr>
            </w:pPr>
          </w:p>
        </w:tc>
      </w:tr>
      <w:tr w:rsidR="00DF6687" w:rsidRPr="00F91DF2" w:rsidTr="0056015A">
        <w:tc>
          <w:tcPr>
            <w:tcW w:w="4428" w:type="dxa"/>
          </w:tcPr>
          <w:p w:rsidR="00DF6687" w:rsidRPr="003166C1" w:rsidRDefault="00DF6687" w:rsidP="00714F66">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6S20 – Număr personal din sistemul FESI, ale căror salarii sunt co-finanțate din POAT – echivalent normă întreagă anual (</w:t>
            </w:r>
            <w:r w:rsidRPr="003166C1">
              <w:rPr>
                <w:rFonts w:asciiTheme="minorHAnsi" w:hAnsiTheme="minorHAnsi" w:cs="Times New Roman"/>
                <w:i/>
                <w:sz w:val="24"/>
                <w:szCs w:val="24"/>
                <w:lang w:val="ro-RO"/>
              </w:rPr>
              <w:t xml:space="preserve">full </w:t>
            </w:r>
            <w:r w:rsidRPr="003166C1">
              <w:rPr>
                <w:rFonts w:asciiTheme="minorHAnsi" w:hAnsiTheme="minorHAnsi" w:cs="Times New Roman"/>
                <w:i/>
                <w:sz w:val="24"/>
                <w:szCs w:val="24"/>
                <w:lang w:val="ro-RO"/>
              </w:rPr>
              <w:lastRenderedPageBreak/>
              <w:t>time equivalents</w:t>
            </w:r>
            <w:r w:rsidRPr="003166C1">
              <w:rPr>
                <w:rFonts w:asciiTheme="minorHAnsi" w:hAnsiTheme="minorHAnsi" w:cs="Times New Roman"/>
                <w:sz w:val="24"/>
                <w:szCs w:val="24"/>
                <w:lang w:val="ro-RO"/>
              </w:rPr>
              <w:t>)</w:t>
            </w:r>
            <w:r>
              <w:rPr>
                <w:rFonts w:asciiTheme="minorHAnsi" w:hAnsiTheme="minorHAnsi" w:cs="Times New Roman"/>
                <w:sz w:val="24"/>
                <w:szCs w:val="24"/>
                <w:lang w:val="ro-RO"/>
              </w:rPr>
              <w:t xml:space="preserve"> (nr)</w:t>
            </w:r>
          </w:p>
          <w:p w:rsidR="00DF6687" w:rsidRPr="0056015A" w:rsidRDefault="00DF6687" w:rsidP="002309F7">
            <w:pPr>
              <w:spacing w:before="120" w:after="120" w:line="240" w:lineRule="auto"/>
              <w:jc w:val="both"/>
              <w:rPr>
                <w:rFonts w:asciiTheme="minorHAnsi" w:hAnsiTheme="minorHAnsi" w:cs="Times New Roman"/>
                <w:sz w:val="24"/>
                <w:szCs w:val="24"/>
                <w:lang w:val="ro-RO"/>
              </w:rPr>
            </w:pPr>
          </w:p>
        </w:tc>
        <w:tc>
          <w:tcPr>
            <w:tcW w:w="1740" w:type="dxa"/>
          </w:tcPr>
          <w:p w:rsidR="00DF6687" w:rsidRPr="0056015A" w:rsidRDefault="00DF6687" w:rsidP="00F91DF2">
            <w:pPr>
              <w:spacing w:before="120" w:after="120" w:line="240" w:lineRule="auto"/>
              <w:jc w:val="both"/>
              <w:rPr>
                <w:rFonts w:asciiTheme="minorHAnsi" w:hAnsiTheme="minorHAnsi" w:cs="Times New Roman"/>
                <w:sz w:val="24"/>
                <w:szCs w:val="24"/>
                <w:highlight w:val="yellow"/>
                <w:lang w:val="ro-RO"/>
              </w:rPr>
            </w:pPr>
            <w:r w:rsidRPr="00EB0676">
              <w:rPr>
                <w:rFonts w:asciiTheme="minorHAnsi" w:hAnsiTheme="minorHAnsi" w:cs="Times New Roman"/>
                <w:sz w:val="24"/>
                <w:szCs w:val="24"/>
                <w:lang w:val="ro-RO"/>
              </w:rPr>
              <w:lastRenderedPageBreak/>
              <w:t>AP 3/OS 3.1/ Acţiunea 3.1.2</w:t>
            </w:r>
          </w:p>
        </w:tc>
        <w:tc>
          <w:tcPr>
            <w:tcW w:w="3969" w:type="dxa"/>
          </w:tcPr>
          <w:p w:rsidR="00DF6687" w:rsidRPr="003166C1" w:rsidRDefault="00DF6687" w:rsidP="00714F66">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 xml:space="preserve">Acest indicator se referă la numărul de personal din sistemul FESI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 xml:space="preserve">full </w:t>
            </w:r>
            <w:r w:rsidRPr="003166C1">
              <w:rPr>
                <w:rFonts w:asciiTheme="minorHAnsi" w:hAnsiTheme="minorHAnsi"/>
                <w:i/>
                <w:sz w:val="24"/>
                <w:szCs w:val="24"/>
                <w:lang w:val="ro-RO"/>
              </w:rPr>
              <w:lastRenderedPageBreak/>
              <w:t>time 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p w:rsidR="00DF6687" w:rsidRPr="003166C1" w:rsidRDefault="00DF6687" w:rsidP="00F64A50">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Salariile sunt finanțate din POAT pentru personalul următoarelor structuri din sistemul FESI:</w:t>
            </w:r>
          </w:p>
          <w:p w:rsidR="00DF6687" w:rsidRPr="003166C1" w:rsidRDefault="00DF6687" w:rsidP="00F64A50">
            <w:pPr>
              <w:pStyle w:val="ListParagraph"/>
              <w:numPr>
                <w:ilvl w:val="0"/>
                <w:numId w:val="1"/>
              </w:numPr>
              <w:spacing w:after="120" w:line="240" w:lineRule="auto"/>
              <w:ind w:left="175" w:hanging="141"/>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Structurile de coordonare şi control care includ: Ministerul Fondurilor Europene, Autoritatea de Certificare şi Plată, Autoritatea de Audit, DLAF, ANRMAP, UCVAP</w:t>
            </w:r>
            <w:r>
              <w:rPr>
                <w:rFonts w:asciiTheme="minorHAnsi" w:hAnsiTheme="minorHAnsi" w:cs="Times New Roman"/>
                <w:sz w:val="24"/>
                <w:szCs w:val="24"/>
                <w:lang w:val="ro-RO"/>
              </w:rPr>
              <w:t>/CVAP</w:t>
            </w:r>
            <w:r w:rsidRPr="003166C1">
              <w:rPr>
                <w:rFonts w:asciiTheme="minorHAnsi" w:hAnsiTheme="minorHAnsi" w:cs="Times New Roman"/>
                <w:sz w:val="24"/>
                <w:szCs w:val="24"/>
                <w:lang w:val="ro-RO"/>
              </w:rPr>
              <w:t xml:space="preserve"> şi alte structuri desemnate pentru coordonarea şi controlul FESI daca este necesar.</w:t>
            </w:r>
          </w:p>
          <w:p w:rsidR="00DF6687" w:rsidRPr="003166C1" w:rsidRDefault="00DF6687" w:rsidP="003166C1">
            <w:pPr>
              <w:pStyle w:val="ListParagraph"/>
              <w:numPr>
                <w:ilvl w:val="0"/>
                <w:numId w:val="1"/>
              </w:numPr>
              <w:spacing w:before="120" w:after="0" w:line="240" w:lineRule="auto"/>
              <w:ind w:left="175" w:hanging="141"/>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Structurile de gestionare pentru POAT, POIM și POC, compuse din: Autorităţi de Management şi Organisme Intermediare.</w:t>
            </w:r>
          </w:p>
        </w:tc>
        <w:tc>
          <w:tcPr>
            <w:tcW w:w="4678" w:type="dxa"/>
          </w:tcPr>
          <w:p w:rsidR="00DF6687" w:rsidRPr="003166C1" w:rsidRDefault="00DF6687" w:rsidP="00714F66">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lastRenderedPageBreak/>
              <w:t xml:space="preserve">E = numărul de personal din sistemul FESI pentru care salariile sunt co-finanțate din POAT echivalent normă întreagă </w:t>
            </w:r>
            <w:r w:rsidRPr="003166C1">
              <w:rPr>
                <w:rFonts w:asciiTheme="minorHAnsi" w:hAnsiTheme="minorHAnsi"/>
                <w:sz w:val="24"/>
                <w:szCs w:val="24"/>
                <w:lang w:val="ro-RO"/>
              </w:rPr>
              <w:t>(</w:t>
            </w:r>
            <w:r w:rsidRPr="003166C1">
              <w:rPr>
                <w:rFonts w:asciiTheme="minorHAnsi" w:hAnsiTheme="minorHAnsi"/>
                <w:i/>
                <w:sz w:val="24"/>
                <w:szCs w:val="24"/>
                <w:lang w:val="ro-RO"/>
              </w:rPr>
              <w:t xml:space="preserve">full time </w:t>
            </w:r>
            <w:r w:rsidRPr="003166C1">
              <w:rPr>
                <w:rFonts w:asciiTheme="minorHAnsi" w:hAnsiTheme="minorHAnsi"/>
                <w:i/>
                <w:sz w:val="24"/>
                <w:szCs w:val="24"/>
                <w:lang w:val="ro-RO"/>
              </w:rPr>
              <w:lastRenderedPageBreak/>
              <w:t>equivalent</w:t>
            </w:r>
            <w:r w:rsidRPr="003166C1">
              <w:rPr>
                <w:rFonts w:asciiTheme="minorHAnsi" w:hAnsiTheme="minorHAnsi"/>
                <w:sz w:val="24"/>
                <w:szCs w:val="24"/>
                <w:lang w:val="ro-RO"/>
              </w:rPr>
              <w:t>)</w:t>
            </w:r>
            <w:r w:rsidRPr="003166C1">
              <w:rPr>
                <w:rFonts w:asciiTheme="minorHAnsi" w:hAnsiTheme="minorHAnsi" w:cs="Times New Roman"/>
                <w:sz w:val="24"/>
                <w:szCs w:val="24"/>
                <w:lang w:val="ro-RO"/>
              </w:rPr>
              <w:t xml:space="preserve"> lucrată anual.</w:t>
            </w:r>
          </w:p>
          <w:p w:rsidR="00DF6687" w:rsidRPr="003166C1" w:rsidRDefault="00DF6687" w:rsidP="004E1D82">
            <w:pPr>
              <w:spacing w:before="120" w:after="12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E = (∑(Pn*r)</w:t>
            </w:r>
            <w:r w:rsidRPr="003166C1">
              <w:rPr>
                <w:rFonts w:asciiTheme="minorHAnsi" w:hAnsiTheme="minorHAnsi" w:cs="Times New Roman"/>
                <w:sz w:val="24"/>
                <w:szCs w:val="24"/>
                <w:vertAlign w:val="subscript"/>
                <w:lang w:val="ro-RO"/>
              </w:rPr>
              <w:t>1</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2</w:t>
            </w:r>
            <w:r w:rsidRPr="003166C1">
              <w:rPr>
                <w:rFonts w:asciiTheme="minorHAnsi" w:hAnsiTheme="minorHAnsi" w:cs="Times New Roman"/>
                <w:sz w:val="24"/>
                <w:szCs w:val="24"/>
                <w:lang w:val="ro-RO"/>
              </w:rPr>
              <w:t>+…∑(Pn*r)</w:t>
            </w:r>
            <w:r w:rsidRPr="003166C1">
              <w:rPr>
                <w:rFonts w:asciiTheme="minorHAnsi" w:hAnsiTheme="minorHAnsi" w:cs="Times New Roman"/>
                <w:sz w:val="24"/>
                <w:szCs w:val="24"/>
                <w:vertAlign w:val="subscript"/>
                <w:lang w:val="ro-RO"/>
              </w:rPr>
              <w:t>12</w:t>
            </w:r>
            <w:r w:rsidRPr="003166C1">
              <w:rPr>
                <w:rFonts w:asciiTheme="minorHAnsi" w:hAnsiTheme="minorHAnsi" w:cs="Times New Roman"/>
                <w:sz w:val="24"/>
                <w:szCs w:val="24"/>
                <w:lang w:val="ro-RO"/>
              </w:rPr>
              <w:t>)/12, unde</w:t>
            </w:r>
          </w:p>
          <w:p w:rsidR="00DF6687" w:rsidRPr="003166C1" w:rsidRDefault="00DF6687" w:rsidP="004E1D82">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P = persoană din sistemul FESI, al cărui salariu este co-finanțat din POAT în luna 1</w:t>
            </w:r>
          </w:p>
          <w:p w:rsidR="00DF6687" w:rsidRPr="003166C1" w:rsidRDefault="00DF6687" w:rsidP="004E1D82">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n = numărul de angajați din sistemul FESI</w:t>
            </w:r>
          </w:p>
          <w:p w:rsidR="00DF6687" w:rsidRPr="003166C1" w:rsidRDefault="00DF6687" w:rsidP="00F91DF2">
            <w:pPr>
              <w:spacing w:before="120" w:after="0" w:line="240" w:lineRule="auto"/>
              <w:jc w:val="both"/>
              <w:rPr>
                <w:rFonts w:asciiTheme="minorHAnsi" w:hAnsiTheme="minorHAnsi" w:cs="Times New Roman"/>
                <w:sz w:val="24"/>
                <w:szCs w:val="24"/>
                <w:lang w:val="ro-RO"/>
              </w:rPr>
            </w:pPr>
            <w:r w:rsidRPr="003166C1">
              <w:rPr>
                <w:rFonts w:asciiTheme="minorHAnsi" w:hAnsiTheme="minorHAnsi" w:cs="Times New Roman"/>
                <w:sz w:val="24"/>
                <w:szCs w:val="24"/>
                <w:lang w:val="ro-RO"/>
              </w:rPr>
              <w:t>r = procentul de atribuții aferente FESI</w:t>
            </w:r>
          </w:p>
        </w:tc>
      </w:tr>
    </w:tbl>
    <w:p w:rsidR="00537C8C" w:rsidRPr="00DD2A8F" w:rsidRDefault="00537C8C" w:rsidP="00BA7F47">
      <w:pPr>
        <w:spacing w:before="120" w:after="120"/>
        <w:jc w:val="both"/>
        <w:rPr>
          <w:rFonts w:ascii="Times New Roman" w:hAnsi="Times New Roman" w:cs="Times New Roman"/>
          <w:sz w:val="24"/>
          <w:szCs w:val="24"/>
          <w:lang w:val="ro-RO"/>
        </w:rPr>
      </w:pPr>
    </w:p>
    <w:sectPr w:rsidR="00537C8C" w:rsidRPr="00DD2A8F" w:rsidSect="00F91DF2">
      <w:headerReference w:type="default" r:id="rId11"/>
      <w:footerReference w:type="default" r:id="rId12"/>
      <w:pgSz w:w="16839" w:h="11907" w:orient="landscape" w:code="9"/>
      <w:pgMar w:top="709" w:right="963" w:bottom="851" w:left="1440" w:header="708"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6C2" w:rsidRDefault="005B56C2" w:rsidP="00BA7F47">
      <w:pPr>
        <w:spacing w:after="0" w:line="240" w:lineRule="auto"/>
      </w:pPr>
      <w:r>
        <w:separator/>
      </w:r>
    </w:p>
  </w:endnote>
  <w:endnote w:type="continuationSeparator" w:id="0">
    <w:p w:rsidR="005B56C2" w:rsidRDefault="005B56C2" w:rsidP="00BA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E52" w:rsidRDefault="005B6E52" w:rsidP="00225380">
    <w:pPr>
      <w:pStyle w:val="Footer"/>
      <w:jc w:val="center"/>
    </w:pPr>
    <w:r>
      <w:fldChar w:fldCharType="begin"/>
    </w:r>
    <w:r>
      <w:instrText xml:space="preserve"> PAGE   \* MERGEFORMAT </w:instrText>
    </w:r>
    <w:r>
      <w:fldChar w:fldCharType="separate"/>
    </w:r>
    <w:r w:rsidR="00D00882">
      <w:rPr>
        <w:noProof/>
      </w:rPr>
      <w:t>1</w:t>
    </w:r>
    <w:r>
      <w:rPr>
        <w:noProof/>
      </w:rPr>
      <w:fldChar w:fldCharType="end"/>
    </w:r>
  </w:p>
  <w:p w:rsidR="005B6E52" w:rsidRDefault="005B6E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6C2" w:rsidRDefault="005B56C2" w:rsidP="00BA7F47">
      <w:pPr>
        <w:spacing w:after="0" w:line="240" w:lineRule="auto"/>
      </w:pPr>
      <w:r>
        <w:separator/>
      </w:r>
    </w:p>
  </w:footnote>
  <w:footnote w:type="continuationSeparator" w:id="0">
    <w:p w:rsidR="005B56C2" w:rsidRDefault="005B56C2" w:rsidP="00BA7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15A" w:rsidRDefault="0056015A" w:rsidP="0056015A">
    <w:pPr>
      <w:tabs>
        <w:tab w:val="center" w:pos="4536"/>
        <w:tab w:val="right" w:pos="9072"/>
      </w:tabs>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16495"/>
    <w:multiLevelType w:val="hybridMultilevel"/>
    <w:tmpl w:val="058ADDCC"/>
    <w:lvl w:ilvl="0" w:tplc="EBF47BF0">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11"/>
    <w:rsid w:val="0000750C"/>
    <w:rsid w:val="00010799"/>
    <w:rsid w:val="00024C11"/>
    <w:rsid w:val="000351E1"/>
    <w:rsid w:val="00040AD6"/>
    <w:rsid w:val="000569F0"/>
    <w:rsid w:val="0006525C"/>
    <w:rsid w:val="000664F9"/>
    <w:rsid w:val="00067E5A"/>
    <w:rsid w:val="00076EA9"/>
    <w:rsid w:val="000838DD"/>
    <w:rsid w:val="000A4864"/>
    <w:rsid w:val="000D64DD"/>
    <w:rsid w:val="000E5959"/>
    <w:rsid w:val="00107AA9"/>
    <w:rsid w:val="0011206D"/>
    <w:rsid w:val="001212F5"/>
    <w:rsid w:val="00144449"/>
    <w:rsid w:val="00147F10"/>
    <w:rsid w:val="0016253E"/>
    <w:rsid w:val="00166557"/>
    <w:rsid w:val="00173445"/>
    <w:rsid w:val="00176B50"/>
    <w:rsid w:val="001A1AA9"/>
    <w:rsid w:val="001A1D6B"/>
    <w:rsid w:val="001B7BE1"/>
    <w:rsid w:val="001C4054"/>
    <w:rsid w:val="001D28E2"/>
    <w:rsid w:val="001F1A10"/>
    <w:rsid w:val="00200989"/>
    <w:rsid w:val="002119D1"/>
    <w:rsid w:val="002156C6"/>
    <w:rsid w:val="00225380"/>
    <w:rsid w:val="0022598B"/>
    <w:rsid w:val="002309F7"/>
    <w:rsid w:val="002348A9"/>
    <w:rsid w:val="00271B8F"/>
    <w:rsid w:val="00276B52"/>
    <w:rsid w:val="002809FC"/>
    <w:rsid w:val="002B0D2C"/>
    <w:rsid w:val="002B6ED2"/>
    <w:rsid w:val="002B6F14"/>
    <w:rsid w:val="002C2CAB"/>
    <w:rsid w:val="002D1BE9"/>
    <w:rsid w:val="002D3858"/>
    <w:rsid w:val="002D6CE5"/>
    <w:rsid w:val="002F2B51"/>
    <w:rsid w:val="00305C74"/>
    <w:rsid w:val="003166C1"/>
    <w:rsid w:val="00336003"/>
    <w:rsid w:val="00357A55"/>
    <w:rsid w:val="00360D5E"/>
    <w:rsid w:val="00371E68"/>
    <w:rsid w:val="003A0DBD"/>
    <w:rsid w:val="003D1E3F"/>
    <w:rsid w:val="003E6223"/>
    <w:rsid w:val="003F3F44"/>
    <w:rsid w:val="004000E8"/>
    <w:rsid w:val="00417957"/>
    <w:rsid w:val="0043328E"/>
    <w:rsid w:val="00434427"/>
    <w:rsid w:val="004411FE"/>
    <w:rsid w:val="00442E9B"/>
    <w:rsid w:val="00450D40"/>
    <w:rsid w:val="004563A5"/>
    <w:rsid w:val="0047255E"/>
    <w:rsid w:val="0047350A"/>
    <w:rsid w:val="00473F51"/>
    <w:rsid w:val="00491142"/>
    <w:rsid w:val="004957D1"/>
    <w:rsid w:val="004B1552"/>
    <w:rsid w:val="004B334C"/>
    <w:rsid w:val="004B6FC7"/>
    <w:rsid w:val="004D306C"/>
    <w:rsid w:val="004E4901"/>
    <w:rsid w:val="004E5438"/>
    <w:rsid w:val="004F2782"/>
    <w:rsid w:val="005155EF"/>
    <w:rsid w:val="00515C11"/>
    <w:rsid w:val="00533D4A"/>
    <w:rsid w:val="00534CE1"/>
    <w:rsid w:val="00537C8C"/>
    <w:rsid w:val="005515FB"/>
    <w:rsid w:val="00556B48"/>
    <w:rsid w:val="0056015A"/>
    <w:rsid w:val="0056343E"/>
    <w:rsid w:val="00584C07"/>
    <w:rsid w:val="00592D8C"/>
    <w:rsid w:val="005951EE"/>
    <w:rsid w:val="0059759D"/>
    <w:rsid w:val="005A3A02"/>
    <w:rsid w:val="005A3F7E"/>
    <w:rsid w:val="005B0024"/>
    <w:rsid w:val="005B2F5B"/>
    <w:rsid w:val="005B56C2"/>
    <w:rsid w:val="005B6E52"/>
    <w:rsid w:val="005C3788"/>
    <w:rsid w:val="005D1B00"/>
    <w:rsid w:val="005D433B"/>
    <w:rsid w:val="005D7498"/>
    <w:rsid w:val="0060233D"/>
    <w:rsid w:val="0061701D"/>
    <w:rsid w:val="006221FD"/>
    <w:rsid w:val="00624A12"/>
    <w:rsid w:val="00634D04"/>
    <w:rsid w:val="00647455"/>
    <w:rsid w:val="006527BA"/>
    <w:rsid w:val="0065283B"/>
    <w:rsid w:val="00655125"/>
    <w:rsid w:val="006628B5"/>
    <w:rsid w:val="00672593"/>
    <w:rsid w:val="00681289"/>
    <w:rsid w:val="006A38AD"/>
    <w:rsid w:val="006A4A33"/>
    <w:rsid w:val="006B1348"/>
    <w:rsid w:val="006C2FF8"/>
    <w:rsid w:val="006C4B54"/>
    <w:rsid w:val="006D7055"/>
    <w:rsid w:val="006D78E2"/>
    <w:rsid w:val="006E48A4"/>
    <w:rsid w:val="006E5AA3"/>
    <w:rsid w:val="006E65F1"/>
    <w:rsid w:val="007009C7"/>
    <w:rsid w:val="00700DD3"/>
    <w:rsid w:val="00714897"/>
    <w:rsid w:val="00714F66"/>
    <w:rsid w:val="007200DE"/>
    <w:rsid w:val="007457B9"/>
    <w:rsid w:val="00757C84"/>
    <w:rsid w:val="00767E31"/>
    <w:rsid w:val="007770B5"/>
    <w:rsid w:val="00790780"/>
    <w:rsid w:val="00791F36"/>
    <w:rsid w:val="007A0310"/>
    <w:rsid w:val="007A2EB7"/>
    <w:rsid w:val="007B298B"/>
    <w:rsid w:val="007B42C2"/>
    <w:rsid w:val="007E6DBF"/>
    <w:rsid w:val="00807CCB"/>
    <w:rsid w:val="008349FA"/>
    <w:rsid w:val="00847529"/>
    <w:rsid w:val="0085030D"/>
    <w:rsid w:val="00854FA2"/>
    <w:rsid w:val="008663A5"/>
    <w:rsid w:val="00894715"/>
    <w:rsid w:val="00894B62"/>
    <w:rsid w:val="008B70D1"/>
    <w:rsid w:val="008C2930"/>
    <w:rsid w:val="008C38D7"/>
    <w:rsid w:val="008D3B25"/>
    <w:rsid w:val="008D48F5"/>
    <w:rsid w:val="008E5C66"/>
    <w:rsid w:val="008F282E"/>
    <w:rsid w:val="009106F3"/>
    <w:rsid w:val="00916955"/>
    <w:rsid w:val="009258F1"/>
    <w:rsid w:val="00943ECA"/>
    <w:rsid w:val="00947579"/>
    <w:rsid w:val="00957492"/>
    <w:rsid w:val="00962317"/>
    <w:rsid w:val="00963FA6"/>
    <w:rsid w:val="009653CF"/>
    <w:rsid w:val="00981C38"/>
    <w:rsid w:val="00995B6B"/>
    <w:rsid w:val="009A0F41"/>
    <w:rsid w:val="009C0943"/>
    <w:rsid w:val="009C0C13"/>
    <w:rsid w:val="009C499E"/>
    <w:rsid w:val="009C606F"/>
    <w:rsid w:val="009C6469"/>
    <w:rsid w:val="009E55AD"/>
    <w:rsid w:val="00A02020"/>
    <w:rsid w:val="00A05F0F"/>
    <w:rsid w:val="00A06D83"/>
    <w:rsid w:val="00A17F60"/>
    <w:rsid w:val="00A20B94"/>
    <w:rsid w:val="00A27A95"/>
    <w:rsid w:val="00A3058B"/>
    <w:rsid w:val="00A33021"/>
    <w:rsid w:val="00A54E82"/>
    <w:rsid w:val="00A6197F"/>
    <w:rsid w:val="00A80488"/>
    <w:rsid w:val="00A86A23"/>
    <w:rsid w:val="00A976BA"/>
    <w:rsid w:val="00A97B6A"/>
    <w:rsid w:val="00AA3A81"/>
    <w:rsid w:val="00AF48C7"/>
    <w:rsid w:val="00B05500"/>
    <w:rsid w:val="00B10DAD"/>
    <w:rsid w:val="00B125A7"/>
    <w:rsid w:val="00B168F3"/>
    <w:rsid w:val="00B63270"/>
    <w:rsid w:val="00B635FA"/>
    <w:rsid w:val="00B6657A"/>
    <w:rsid w:val="00B72F10"/>
    <w:rsid w:val="00B73520"/>
    <w:rsid w:val="00B7634F"/>
    <w:rsid w:val="00B8112E"/>
    <w:rsid w:val="00B854BE"/>
    <w:rsid w:val="00B93375"/>
    <w:rsid w:val="00BA7F47"/>
    <w:rsid w:val="00BB74F3"/>
    <w:rsid w:val="00BC37C0"/>
    <w:rsid w:val="00BC4A43"/>
    <w:rsid w:val="00BD1DB5"/>
    <w:rsid w:val="00BE5FDD"/>
    <w:rsid w:val="00BE6193"/>
    <w:rsid w:val="00BF1A2C"/>
    <w:rsid w:val="00C002D7"/>
    <w:rsid w:val="00C010C7"/>
    <w:rsid w:val="00C24EEA"/>
    <w:rsid w:val="00C34C81"/>
    <w:rsid w:val="00C4342B"/>
    <w:rsid w:val="00C44F16"/>
    <w:rsid w:val="00C46A3C"/>
    <w:rsid w:val="00C508A1"/>
    <w:rsid w:val="00C608FA"/>
    <w:rsid w:val="00C63CE3"/>
    <w:rsid w:val="00C70684"/>
    <w:rsid w:val="00C80586"/>
    <w:rsid w:val="00C80CED"/>
    <w:rsid w:val="00C85B6C"/>
    <w:rsid w:val="00CB287E"/>
    <w:rsid w:val="00CB714C"/>
    <w:rsid w:val="00CE6D41"/>
    <w:rsid w:val="00D00882"/>
    <w:rsid w:val="00D11021"/>
    <w:rsid w:val="00D12E1B"/>
    <w:rsid w:val="00D17ECA"/>
    <w:rsid w:val="00D2086A"/>
    <w:rsid w:val="00D2136E"/>
    <w:rsid w:val="00D3056A"/>
    <w:rsid w:val="00D32A98"/>
    <w:rsid w:val="00D3316F"/>
    <w:rsid w:val="00D44F95"/>
    <w:rsid w:val="00D54A4C"/>
    <w:rsid w:val="00D751B3"/>
    <w:rsid w:val="00DB2C72"/>
    <w:rsid w:val="00DD1838"/>
    <w:rsid w:val="00DD2A8F"/>
    <w:rsid w:val="00DD3381"/>
    <w:rsid w:val="00DF4874"/>
    <w:rsid w:val="00DF6687"/>
    <w:rsid w:val="00E00890"/>
    <w:rsid w:val="00E07AF9"/>
    <w:rsid w:val="00E26FA9"/>
    <w:rsid w:val="00E464A1"/>
    <w:rsid w:val="00E52A0F"/>
    <w:rsid w:val="00E63767"/>
    <w:rsid w:val="00E70526"/>
    <w:rsid w:val="00E74458"/>
    <w:rsid w:val="00E97E64"/>
    <w:rsid w:val="00EA69F1"/>
    <w:rsid w:val="00EC25B2"/>
    <w:rsid w:val="00ED69DB"/>
    <w:rsid w:val="00ED6E84"/>
    <w:rsid w:val="00EE0889"/>
    <w:rsid w:val="00EE314F"/>
    <w:rsid w:val="00EE4681"/>
    <w:rsid w:val="00EF28D1"/>
    <w:rsid w:val="00F07C69"/>
    <w:rsid w:val="00F1372B"/>
    <w:rsid w:val="00F24645"/>
    <w:rsid w:val="00F3075C"/>
    <w:rsid w:val="00F4410C"/>
    <w:rsid w:val="00F45C53"/>
    <w:rsid w:val="00F50637"/>
    <w:rsid w:val="00F51650"/>
    <w:rsid w:val="00F64A50"/>
    <w:rsid w:val="00F670C2"/>
    <w:rsid w:val="00F72E01"/>
    <w:rsid w:val="00F83E70"/>
    <w:rsid w:val="00F91DF2"/>
    <w:rsid w:val="00FA327A"/>
    <w:rsid w:val="00FB037E"/>
    <w:rsid w:val="00FB200E"/>
    <w:rsid w:val="00FB30D3"/>
    <w:rsid w:val="00FD4BDB"/>
    <w:rsid w:val="00FE0370"/>
    <w:rsid w:val="00FE5580"/>
    <w:rsid w:val="00FE6C02"/>
    <w:rsid w:val="00FE7496"/>
    <w:rsid w:val="00FF3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943"/>
    <w:pPr>
      <w:spacing w:after="200" w:line="276" w:lineRule="auto"/>
    </w:pPr>
    <w:rPr>
      <w:rFonts w:cs="Calibri"/>
    </w:rPr>
  </w:style>
  <w:style w:type="paragraph" w:styleId="Heading2">
    <w:name w:val="heading 2"/>
    <w:basedOn w:val="Normal"/>
    <w:next w:val="Normal"/>
    <w:link w:val="Heading2Char"/>
    <w:uiPriority w:val="99"/>
    <w:qFormat/>
    <w:rsid w:val="00515C11"/>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15C11"/>
    <w:rPr>
      <w:rFonts w:ascii="Cambria" w:hAnsi="Cambria" w:cs="Cambria"/>
      <w:b/>
      <w:bCs/>
      <w:color w:val="4F81BD"/>
      <w:sz w:val="26"/>
      <w:szCs w:val="26"/>
    </w:rPr>
  </w:style>
  <w:style w:type="table" w:styleId="TableGrid">
    <w:name w:val="Table Grid"/>
    <w:basedOn w:val="TableNormal"/>
    <w:uiPriority w:val="99"/>
    <w:rsid w:val="00515C1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B7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70D1"/>
    <w:rPr>
      <w:rFonts w:ascii="Tahoma" w:hAnsi="Tahoma" w:cs="Tahoma"/>
      <w:sz w:val="16"/>
      <w:szCs w:val="16"/>
    </w:rPr>
  </w:style>
  <w:style w:type="character" w:styleId="CommentReference">
    <w:name w:val="annotation reference"/>
    <w:basedOn w:val="DefaultParagraphFont"/>
    <w:uiPriority w:val="99"/>
    <w:semiHidden/>
    <w:rsid w:val="00FF3386"/>
    <w:rPr>
      <w:sz w:val="16"/>
      <w:szCs w:val="16"/>
    </w:rPr>
  </w:style>
  <w:style w:type="paragraph" w:styleId="CommentText">
    <w:name w:val="annotation text"/>
    <w:basedOn w:val="Normal"/>
    <w:link w:val="CommentTextChar"/>
    <w:uiPriority w:val="99"/>
    <w:semiHidden/>
    <w:rsid w:val="00FF338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F3386"/>
    <w:rPr>
      <w:sz w:val="20"/>
      <w:szCs w:val="20"/>
    </w:rPr>
  </w:style>
  <w:style w:type="paragraph" w:styleId="CommentSubject">
    <w:name w:val="annotation subject"/>
    <w:basedOn w:val="CommentText"/>
    <w:next w:val="CommentText"/>
    <w:link w:val="CommentSubjectChar"/>
    <w:uiPriority w:val="99"/>
    <w:semiHidden/>
    <w:rsid w:val="00FF3386"/>
    <w:rPr>
      <w:b/>
      <w:bCs/>
    </w:rPr>
  </w:style>
  <w:style w:type="character" w:customStyle="1" w:styleId="CommentSubjectChar">
    <w:name w:val="Comment Subject Char"/>
    <w:basedOn w:val="CommentTextChar"/>
    <w:link w:val="CommentSubject"/>
    <w:uiPriority w:val="99"/>
    <w:semiHidden/>
    <w:locked/>
    <w:rsid w:val="00FF3386"/>
    <w:rPr>
      <w:b/>
      <w:bCs/>
      <w:sz w:val="20"/>
      <w:szCs w:val="20"/>
    </w:rPr>
  </w:style>
  <w:style w:type="paragraph" w:styleId="Header">
    <w:name w:val="header"/>
    <w:basedOn w:val="Normal"/>
    <w:link w:val="HeaderChar"/>
    <w:uiPriority w:val="99"/>
    <w:rsid w:val="00BA7F4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A7F47"/>
  </w:style>
  <w:style w:type="paragraph" w:styleId="Footer">
    <w:name w:val="footer"/>
    <w:basedOn w:val="Normal"/>
    <w:link w:val="FooterChar"/>
    <w:uiPriority w:val="99"/>
    <w:rsid w:val="00BA7F4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A7F47"/>
  </w:style>
  <w:style w:type="character" w:styleId="Hyperlink">
    <w:name w:val="Hyperlink"/>
    <w:basedOn w:val="DefaultParagraphFont"/>
    <w:uiPriority w:val="99"/>
    <w:unhideWhenUsed/>
    <w:rsid w:val="00A33021"/>
    <w:rPr>
      <w:color w:val="0000FF" w:themeColor="hyperlink"/>
      <w:u w:val="single"/>
    </w:rPr>
  </w:style>
  <w:style w:type="paragraph" w:styleId="ListParagraph">
    <w:name w:val="List Paragraph"/>
    <w:basedOn w:val="Normal"/>
    <w:uiPriority w:val="34"/>
    <w:qFormat/>
    <w:rsid w:val="003166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943"/>
    <w:pPr>
      <w:spacing w:after="200" w:line="276" w:lineRule="auto"/>
    </w:pPr>
    <w:rPr>
      <w:rFonts w:cs="Calibri"/>
    </w:rPr>
  </w:style>
  <w:style w:type="paragraph" w:styleId="Heading2">
    <w:name w:val="heading 2"/>
    <w:basedOn w:val="Normal"/>
    <w:next w:val="Normal"/>
    <w:link w:val="Heading2Char"/>
    <w:uiPriority w:val="99"/>
    <w:qFormat/>
    <w:rsid w:val="00515C11"/>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15C11"/>
    <w:rPr>
      <w:rFonts w:ascii="Cambria" w:hAnsi="Cambria" w:cs="Cambria"/>
      <w:b/>
      <w:bCs/>
      <w:color w:val="4F81BD"/>
      <w:sz w:val="26"/>
      <w:szCs w:val="26"/>
    </w:rPr>
  </w:style>
  <w:style w:type="table" w:styleId="TableGrid">
    <w:name w:val="Table Grid"/>
    <w:basedOn w:val="TableNormal"/>
    <w:uiPriority w:val="99"/>
    <w:rsid w:val="00515C1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B7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70D1"/>
    <w:rPr>
      <w:rFonts w:ascii="Tahoma" w:hAnsi="Tahoma" w:cs="Tahoma"/>
      <w:sz w:val="16"/>
      <w:szCs w:val="16"/>
    </w:rPr>
  </w:style>
  <w:style w:type="character" w:styleId="CommentReference">
    <w:name w:val="annotation reference"/>
    <w:basedOn w:val="DefaultParagraphFont"/>
    <w:uiPriority w:val="99"/>
    <w:semiHidden/>
    <w:rsid w:val="00FF3386"/>
    <w:rPr>
      <w:sz w:val="16"/>
      <w:szCs w:val="16"/>
    </w:rPr>
  </w:style>
  <w:style w:type="paragraph" w:styleId="CommentText">
    <w:name w:val="annotation text"/>
    <w:basedOn w:val="Normal"/>
    <w:link w:val="CommentTextChar"/>
    <w:uiPriority w:val="99"/>
    <w:semiHidden/>
    <w:rsid w:val="00FF338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F3386"/>
    <w:rPr>
      <w:sz w:val="20"/>
      <w:szCs w:val="20"/>
    </w:rPr>
  </w:style>
  <w:style w:type="paragraph" w:styleId="CommentSubject">
    <w:name w:val="annotation subject"/>
    <w:basedOn w:val="CommentText"/>
    <w:next w:val="CommentText"/>
    <w:link w:val="CommentSubjectChar"/>
    <w:uiPriority w:val="99"/>
    <w:semiHidden/>
    <w:rsid w:val="00FF3386"/>
    <w:rPr>
      <w:b/>
      <w:bCs/>
    </w:rPr>
  </w:style>
  <w:style w:type="character" w:customStyle="1" w:styleId="CommentSubjectChar">
    <w:name w:val="Comment Subject Char"/>
    <w:basedOn w:val="CommentTextChar"/>
    <w:link w:val="CommentSubject"/>
    <w:uiPriority w:val="99"/>
    <w:semiHidden/>
    <w:locked/>
    <w:rsid w:val="00FF3386"/>
    <w:rPr>
      <w:b/>
      <w:bCs/>
      <w:sz w:val="20"/>
      <w:szCs w:val="20"/>
    </w:rPr>
  </w:style>
  <w:style w:type="paragraph" w:styleId="Header">
    <w:name w:val="header"/>
    <w:basedOn w:val="Normal"/>
    <w:link w:val="HeaderChar"/>
    <w:uiPriority w:val="99"/>
    <w:rsid w:val="00BA7F4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A7F47"/>
  </w:style>
  <w:style w:type="paragraph" w:styleId="Footer">
    <w:name w:val="footer"/>
    <w:basedOn w:val="Normal"/>
    <w:link w:val="FooterChar"/>
    <w:uiPriority w:val="99"/>
    <w:rsid w:val="00BA7F4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A7F47"/>
  </w:style>
  <w:style w:type="character" w:styleId="Hyperlink">
    <w:name w:val="Hyperlink"/>
    <w:basedOn w:val="DefaultParagraphFont"/>
    <w:uiPriority w:val="99"/>
    <w:unhideWhenUsed/>
    <w:rsid w:val="00A33021"/>
    <w:rPr>
      <w:color w:val="0000FF" w:themeColor="hyperlink"/>
      <w:u w:val="single"/>
    </w:rPr>
  </w:style>
  <w:style w:type="paragraph" w:styleId="ListParagraph">
    <w:name w:val="List Paragraph"/>
    <w:basedOn w:val="Normal"/>
    <w:uiPriority w:val="34"/>
    <w:qFormat/>
    <w:rsid w:val="00316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190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8</Pages>
  <Words>1750</Words>
  <Characters>10151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Explanatory definitions of indicators included in the Operational Programme Technical Assistance 2014 – 2020</vt:lpstr>
    </vt:vector>
  </TitlesOfParts>
  <Company>Ernst &amp; Young</Company>
  <LinksUpToDate>false</LinksUpToDate>
  <CharactersWithSpaces>11878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definitions of indicators included in the Operational Programme Technical Assistance 2014 – 2020</dc:title>
  <dc:creator>Elena Mega</dc:creator>
  <cp:lastModifiedBy>Daniela Balan</cp:lastModifiedBy>
  <cp:revision>7</cp:revision>
  <cp:lastPrinted>2014-10-23T06:22:00Z</cp:lastPrinted>
  <dcterms:created xsi:type="dcterms:W3CDTF">2015-03-16T12:17:00Z</dcterms:created>
  <dcterms:modified xsi:type="dcterms:W3CDTF">2015-09-11T12:38:00Z</dcterms:modified>
</cp:coreProperties>
</file>